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AF21F">
      <w:pPr>
        <w:pStyle w:val="7"/>
        <w:spacing w:beforeAutospacing="0" w:afterAutospacing="0" w:line="180" w:lineRule="atLeast"/>
        <w:rPr>
          <w:rFonts w:hint="eastAsia" w:ascii="Times New Roman" w:hAnsi="Times New Roman"/>
          <w:b/>
          <w:bCs/>
          <w:sz w:val="32"/>
          <w:szCs w:val="32"/>
        </w:rPr>
      </w:pPr>
      <w:bookmarkStart w:id="0" w:name="OLE_LINK2"/>
      <w:bookmarkStart w:id="1" w:name="OLE_LINK1"/>
      <w:r>
        <w:rPr>
          <w:rFonts w:hint="eastAsia" w:ascii="Times New Roman" w:hAnsi="Times New Roman"/>
          <w:b/>
          <w:bCs/>
          <w:sz w:val="32"/>
          <w:szCs w:val="32"/>
        </w:rPr>
        <w:t>Supplementary data</w:t>
      </w:r>
    </w:p>
    <w:p w14:paraId="52471755">
      <w:pPr>
        <w:pStyle w:val="7"/>
        <w:spacing w:beforeAutospacing="0" w:afterAutospacing="0" w:line="360" w:lineRule="auto"/>
        <w:rPr>
          <w:rFonts w:ascii="Times New Roman" w:hAnsi="Times New Roman"/>
          <w:b/>
          <w:bCs/>
          <w:color w:val="0E101A"/>
          <w:sz w:val="32"/>
          <w:szCs w:val="32"/>
        </w:rPr>
      </w:pPr>
      <w:r>
        <w:rPr>
          <w:rFonts w:hint="eastAsia" w:ascii="Times New Roman" w:hAnsi="Times New Roman"/>
          <w:b/>
          <w:bCs/>
          <w:color w:val="0E101A"/>
          <w:sz w:val="32"/>
          <w:szCs w:val="32"/>
        </w:rPr>
        <w:t>M</w:t>
      </w:r>
      <w:r>
        <w:rPr>
          <w:rFonts w:ascii="Times New Roman" w:hAnsi="Times New Roman"/>
          <w:b/>
          <w:bCs/>
          <w:color w:val="0E101A"/>
          <w:sz w:val="32"/>
          <w:szCs w:val="32"/>
        </w:rPr>
        <w:t>itochondrial function maintenance and mitochondrial training in ageing and related diseases</w:t>
      </w:r>
    </w:p>
    <w:p w14:paraId="0C57079A">
      <w:pPr>
        <w:pStyle w:val="7"/>
        <w:spacing w:beforeAutospacing="0" w:afterAutospacing="0" w:line="360" w:lineRule="auto"/>
        <w:jc w:val="center"/>
        <w:rPr>
          <w:rFonts w:ascii="Times New Roman" w:hAnsi="Times New Roman"/>
          <w:b/>
          <w:bCs/>
          <w:color w:val="0E101A"/>
          <w:sz w:val="32"/>
          <w:szCs w:val="32"/>
        </w:rPr>
      </w:pPr>
    </w:p>
    <w:p w14:paraId="01CB4BC2">
      <w:pPr>
        <w:pStyle w:val="7"/>
        <w:spacing w:beforeAutospacing="0" w:line="360" w:lineRule="auto"/>
        <w:rPr>
          <w:rFonts w:ascii="Times New Roman" w:hAnsi="Times New Roman"/>
          <w:color w:val="0E101A"/>
          <w:vertAlign w:val="superscript"/>
        </w:rPr>
      </w:pPr>
      <w:r>
        <w:rPr>
          <w:rFonts w:ascii="Times New Roman" w:hAnsi="Times New Roman"/>
          <w:color w:val="0E101A"/>
        </w:rPr>
        <w:t>Gan Gao</w:t>
      </w:r>
      <w:r>
        <w:rPr>
          <w:rFonts w:hint="eastAsia" w:ascii="Times New Roman" w:hAnsi="Times New Roman"/>
          <w:color w:val="0E101A"/>
          <w:vertAlign w:val="superscript"/>
          <w:lang w:val="en-US" w:eastAsia="zh-CN"/>
        </w:rPr>
        <w:t>a</w:t>
      </w:r>
      <w:r>
        <w:rPr>
          <w:rFonts w:ascii="Times New Roman" w:hAnsi="Times New Roman"/>
          <w:color w:val="0E101A"/>
        </w:rPr>
        <w:t>, Zhihui Xie</w:t>
      </w:r>
      <w:r>
        <w:rPr>
          <w:rFonts w:hint="eastAsia" w:ascii="Times New Roman" w:hAnsi="Times New Roman"/>
          <w:color w:val="0E101A"/>
          <w:vertAlign w:val="superscript"/>
          <w:lang w:val="en-US" w:eastAsia="zh-CN"/>
        </w:rPr>
        <w:t>b</w:t>
      </w:r>
      <w:r>
        <w:rPr>
          <w:rFonts w:ascii="Times New Roman" w:hAnsi="Times New Roman"/>
          <w:color w:val="0E101A"/>
        </w:rPr>
        <w:t>, Hongliang Huang</w:t>
      </w:r>
      <w:r>
        <w:rPr>
          <w:rFonts w:hint="eastAsia" w:ascii="Times New Roman" w:hAnsi="Times New Roman"/>
          <w:color w:val="0E101A"/>
          <w:vertAlign w:val="superscript"/>
          <w:lang w:val="en-US" w:eastAsia="zh-CN"/>
        </w:rPr>
        <w:t>a</w:t>
      </w:r>
      <w:r>
        <w:rPr>
          <w:rFonts w:hint="eastAsia" w:ascii="Times New Roman" w:hAnsi="Times New Roman"/>
          <w:color w:val="0E101A"/>
          <w:vertAlign w:val="superscript"/>
        </w:rPr>
        <w:t>,</w:t>
      </w:r>
      <w:r>
        <w:rPr>
          <w:rFonts w:hint="eastAsia" w:ascii="Times New Roman" w:hAnsi="Times New Roman"/>
          <w:color w:val="0E101A"/>
          <w:vertAlign w:val="superscript"/>
          <w:lang w:val="en-US" w:eastAsia="zh-CN"/>
        </w:rPr>
        <w:t>c</w:t>
      </w:r>
      <w:r>
        <w:rPr>
          <w:rFonts w:hint="eastAsia" w:ascii="Times New Roman" w:hAnsi="Times New Roman"/>
          <w:color w:val="0E101A"/>
          <w:vertAlign w:val="superscript"/>
        </w:rPr>
        <w:t>,</w:t>
      </w:r>
      <w:r>
        <w:rPr>
          <w:rFonts w:hint="eastAsia" w:ascii="Times New Roman" w:hAnsi="Times New Roman"/>
          <w:color w:val="0E101A"/>
          <w:vertAlign w:val="superscript"/>
          <w:lang w:val="en-US" w:eastAsia="zh-CN"/>
        </w:rPr>
        <w:t>d,</w:t>
      </w:r>
      <w:r>
        <w:rPr>
          <w:rFonts w:ascii="Times New Roman" w:hAnsi="Times New Roman"/>
          <w:color w:val="0E101A"/>
          <w:vertAlign w:val="superscript"/>
        </w:rPr>
        <w:t>*</w:t>
      </w:r>
    </w:p>
    <w:p w14:paraId="6F25F66A">
      <w:pPr>
        <w:pStyle w:val="7"/>
        <w:spacing w:beforeAutospacing="0" w:line="360" w:lineRule="auto"/>
        <w:rPr>
          <w:rFonts w:ascii="Times New Roman" w:hAnsi="Times New Roman"/>
          <w:i/>
          <w:iCs/>
          <w:color w:val="0E101A"/>
        </w:rPr>
      </w:pPr>
      <w:r>
        <w:rPr>
          <w:rFonts w:hint="eastAsia" w:ascii="Times New Roman" w:hAnsi="Times New Roman"/>
          <w:i/>
          <w:iCs/>
          <w:color w:val="0E101A"/>
          <w:vertAlign w:val="superscript"/>
          <w:lang w:val="en-US" w:eastAsia="zh-CN"/>
        </w:rPr>
        <w:t>a</w:t>
      </w:r>
      <w:r>
        <w:rPr>
          <w:rFonts w:ascii="Times New Roman" w:hAnsi="Times New Roman"/>
          <w:i/>
          <w:iCs/>
          <w:color w:val="0E101A"/>
        </w:rPr>
        <w:t xml:space="preserve"> School of Pharmacy, Guangdong Pharmaceutical University, Guangzhou 510006, China</w:t>
      </w:r>
    </w:p>
    <w:p w14:paraId="1E6B2F68">
      <w:pPr>
        <w:pStyle w:val="7"/>
        <w:spacing w:beforeAutospacing="0" w:line="360" w:lineRule="auto"/>
        <w:rPr>
          <w:rFonts w:ascii="Times New Roman" w:hAnsi="Times New Roman"/>
          <w:i/>
          <w:iCs/>
          <w:color w:val="0E101A"/>
        </w:rPr>
      </w:pPr>
      <w:r>
        <w:rPr>
          <w:rFonts w:hint="eastAsia" w:ascii="Times New Roman" w:hAnsi="Times New Roman"/>
          <w:i/>
          <w:iCs/>
          <w:color w:val="0E101A"/>
          <w:vertAlign w:val="superscript"/>
          <w:lang w:val="en-US" w:eastAsia="zh-CN"/>
        </w:rPr>
        <w:t>b</w:t>
      </w:r>
      <w:r>
        <w:rPr>
          <w:rFonts w:ascii="Times New Roman" w:hAnsi="Times New Roman"/>
          <w:i/>
          <w:iCs/>
          <w:color w:val="0E101A"/>
        </w:rPr>
        <w:t xml:space="preserve"> Xie Zhihui Biomedical Research Institute Guangzhou Co. Ltd., Guangzhou 510006, China</w:t>
      </w:r>
    </w:p>
    <w:p w14:paraId="11066CBF">
      <w:pPr>
        <w:pStyle w:val="7"/>
        <w:spacing w:beforeAutospacing="0" w:line="360" w:lineRule="auto"/>
        <w:rPr>
          <w:rFonts w:ascii="Times New Roman" w:hAnsi="Times New Roman"/>
          <w:i/>
          <w:iCs/>
          <w:color w:val="0E101A"/>
        </w:rPr>
      </w:pPr>
      <w:r>
        <w:rPr>
          <w:rFonts w:hint="eastAsia" w:ascii="Times New Roman" w:hAnsi="Times New Roman"/>
          <w:i/>
          <w:iCs/>
          <w:color w:val="0E101A"/>
          <w:vertAlign w:val="superscript"/>
          <w:lang w:val="en-US" w:eastAsia="zh-CN"/>
        </w:rPr>
        <w:t>c</w:t>
      </w:r>
      <w:r>
        <w:rPr>
          <w:rFonts w:ascii="Times New Roman" w:hAnsi="Times New Roman"/>
          <w:i/>
          <w:iCs/>
          <w:color w:val="0E101A"/>
        </w:rPr>
        <w:t xml:space="preserve"> School of Biosciences and Biopharmaceutics, Guangdong Pharmaceutical University, Guangzhou 510006, China</w:t>
      </w:r>
    </w:p>
    <w:p w14:paraId="3E868532">
      <w:pPr>
        <w:pStyle w:val="7"/>
        <w:spacing w:beforeAutospacing="0" w:line="360" w:lineRule="auto"/>
        <w:rPr>
          <w:rFonts w:ascii="Times New Roman" w:hAnsi="Times New Roman"/>
          <w:i/>
          <w:iCs/>
          <w:color w:val="0E101A"/>
        </w:rPr>
      </w:pPr>
      <w:r>
        <w:rPr>
          <w:rFonts w:hint="eastAsia" w:ascii="Times New Roman" w:hAnsi="Times New Roman"/>
          <w:i/>
          <w:iCs/>
          <w:color w:val="0E101A"/>
          <w:vertAlign w:val="superscript"/>
          <w:lang w:val="en-US" w:eastAsia="zh-CN"/>
        </w:rPr>
        <w:t>d</w:t>
      </w:r>
      <w:r>
        <w:rPr>
          <w:rFonts w:ascii="Times New Roman" w:hAnsi="Times New Roman"/>
          <w:i/>
          <w:iCs/>
          <w:color w:val="0E101A"/>
        </w:rPr>
        <w:t xml:space="preserve"> Key Laboratory of New Drug Discovery and Evaluation, Guangdong Pharmaceutical University, Guangzhou 510006, China</w:t>
      </w:r>
    </w:p>
    <w:p w14:paraId="49B0B6A4">
      <w:pPr>
        <w:pStyle w:val="7"/>
        <w:spacing w:beforeAutospacing="0" w:line="360" w:lineRule="auto"/>
        <w:rPr>
          <w:rFonts w:ascii="Times New Roman" w:hAnsi="Times New Roman"/>
          <w:color w:val="0E101A"/>
        </w:rPr>
      </w:pPr>
    </w:p>
    <w:p w14:paraId="1B5B8580">
      <w:pPr>
        <w:pStyle w:val="7"/>
        <w:spacing w:beforeAutospacing="0" w:line="360" w:lineRule="auto"/>
        <w:rPr>
          <w:rFonts w:ascii="Times New Roman" w:hAnsi="Times New Roman"/>
          <w:color w:val="0E101A"/>
        </w:rPr>
      </w:pPr>
      <w:r>
        <w:rPr>
          <w:rFonts w:ascii="Times New Roman" w:hAnsi="Times New Roman"/>
          <w:color w:val="0E101A"/>
        </w:rPr>
        <w:t>* Correspondence: huanghl@gdpu.edu.cn (H.</w:t>
      </w:r>
      <w:r>
        <w:rPr>
          <w:rFonts w:hint="eastAsia" w:ascii="Times New Roman" w:hAnsi="Times New Roman"/>
          <w:color w:val="0E101A"/>
        </w:rPr>
        <w:t xml:space="preserve"> </w:t>
      </w:r>
      <w:r>
        <w:rPr>
          <w:rFonts w:ascii="Times New Roman" w:hAnsi="Times New Roman"/>
          <w:color w:val="0E101A"/>
        </w:rPr>
        <w:t>H</w:t>
      </w:r>
      <w:r>
        <w:rPr>
          <w:rFonts w:hint="eastAsia" w:ascii="Times New Roman" w:hAnsi="Times New Roman"/>
          <w:color w:val="0E101A"/>
        </w:rPr>
        <w:t>uang</w:t>
      </w:r>
      <w:r>
        <w:rPr>
          <w:rFonts w:ascii="Times New Roman" w:hAnsi="Times New Roman"/>
          <w:color w:val="0E101A"/>
        </w:rPr>
        <w:t>)</w:t>
      </w:r>
    </w:p>
    <w:p w14:paraId="4BFAA85C">
      <w:pPr>
        <w:pStyle w:val="7"/>
        <w:spacing w:beforeAutospacing="0" w:afterAutospacing="0" w:line="180" w:lineRule="atLeast"/>
        <w:rPr>
          <w:rFonts w:ascii="Times New Roman" w:hAnsi="Times New Roman"/>
          <w:b/>
          <w:bCs/>
          <w:sz w:val="28"/>
          <w:szCs w:val="20"/>
        </w:rPr>
      </w:pPr>
    </w:p>
    <w:p w14:paraId="791914FD">
      <w:pPr>
        <w:pStyle w:val="7"/>
        <w:spacing w:beforeAutospacing="0" w:afterAutospacing="0" w:line="180" w:lineRule="atLeast"/>
        <w:rPr>
          <w:rFonts w:hint="eastAsia" w:ascii="Times New Roman" w:hAnsi="Times New Roman"/>
          <w:b/>
          <w:bCs/>
          <w:sz w:val="28"/>
          <w:szCs w:val="20"/>
        </w:rPr>
      </w:pPr>
    </w:p>
    <w:p w14:paraId="40AE74FD">
      <w:pPr>
        <w:pStyle w:val="7"/>
        <w:spacing w:beforeAutospacing="0" w:afterAutospacing="0" w:line="180" w:lineRule="atLeast"/>
        <w:ind w:left="-540" w:leftChars="-300" w:firstLine="0" w:firstLineChars="0"/>
      </w:pPr>
      <w:r>
        <w:rPr>
          <w:rFonts w:hint="eastAsia" w:ascii="Times New Roman" w:hAnsi="Times New Roman"/>
          <w:b/>
          <w:bCs/>
          <w:sz w:val="28"/>
          <w:szCs w:val="20"/>
        </w:rPr>
        <w:t>S</w:t>
      </w:r>
      <w:r>
        <w:rPr>
          <w:rFonts w:ascii="Times New Roman" w:hAnsi="Times New Roman"/>
          <w:b/>
          <w:bCs/>
          <w:sz w:val="28"/>
          <w:szCs w:val="20"/>
        </w:rPr>
        <w:t xml:space="preserve">upplementary </w:t>
      </w:r>
      <w:r>
        <w:rPr>
          <w:rFonts w:hint="eastAsia" w:ascii="Times New Roman" w:hAnsi="Times New Roman"/>
          <w:b/>
          <w:bCs/>
          <w:sz w:val="28"/>
          <w:szCs w:val="20"/>
        </w:rPr>
        <w:t>T</w:t>
      </w:r>
      <w:r>
        <w:rPr>
          <w:rFonts w:ascii="Times New Roman" w:hAnsi="Times New Roman"/>
          <w:b/>
          <w:bCs/>
          <w:sz w:val="28"/>
          <w:szCs w:val="20"/>
        </w:rPr>
        <w:t>able 1</w:t>
      </w:r>
      <w:r>
        <w:rPr>
          <w:rFonts w:hint="eastAsia" w:ascii="Times New Roman" w:hAnsi="Times New Roman"/>
          <w:b/>
          <w:bCs/>
          <w:sz w:val="28"/>
          <w:szCs w:val="20"/>
        </w:rPr>
        <w:t xml:space="preserve">. </w:t>
      </w:r>
      <w:r>
        <w:rPr>
          <w:rFonts w:hint="eastAsia" w:ascii="Times New Roman" w:hAnsi="Times New Roman"/>
          <w:sz w:val="28"/>
          <w:szCs w:val="20"/>
        </w:rPr>
        <w:t xml:space="preserve">Summary of Intervention. Mitochondrial-targeted studies to slow biological senescence and mitigate age-related diseases by inhibiting cellular senescence. Search by keywords </w:t>
      </w:r>
      <w:r>
        <w:rPr>
          <w:rFonts w:hint="default" w:ascii="Times New Roman" w:hAnsi="Times New Roman"/>
          <w:sz w:val="28"/>
          <w:szCs w:val="20"/>
          <w:lang w:val="en-US" w:eastAsia="zh-CN"/>
        </w:rPr>
        <w:t>“</w:t>
      </w:r>
      <w:r>
        <w:rPr>
          <w:rFonts w:hint="eastAsia" w:ascii="Times New Roman" w:hAnsi="Times New Roman"/>
          <w:sz w:val="28"/>
          <w:szCs w:val="20"/>
        </w:rPr>
        <w:t>Ageing</w:t>
      </w:r>
      <w:r>
        <w:rPr>
          <w:rFonts w:hint="default" w:ascii="Times New Roman" w:hAnsi="Times New Roman"/>
          <w:sz w:val="28"/>
          <w:szCs w:val="20"/>
          <w:lang w:val="en-US" w:eastAsia="zh-CN"/>
        </w:rPr>
        <w:t>”</w:t>
      </w:r>
      <w:r>
        <w:rPr>
          <w:rFonts w:hint="eastAsia" w:ascii="Times New Roman" w:hAnsi="Times New Roman"/>
          <w:sz w:val="28"/>
          <w:szCs w:val="20"/>
        </w:rPr>
        <w:t xml:space="preserve">, </w:t>
      </w:r>
      <w:r>
        <w:rPr>
          <w:rFonts w:hint="default" w:ascii="Times New Roman" w:hAnsi="Times New Roman"/>
          <w:sz w:val="28"/>
          <w:szCs w:val="20"/>
          <w:lang w:val="en-US" w:eastAsia="zh-CN"/>
        </w:rPr>
        <w:t>“</w:t>
      </w:r>
      <w:r>
        <w:rPr>
          <w:rFonts w:hint="eastAsia" w:ascii="Times New Roman" w:hAnsi="Times New Roman"/>
          <w:sz w:val="28"/>
          <w:szCs w:val="20"/>
        </w:rPr>
        <w:t>Mitochondrial</w:t>
      </w:r>
      <w:r>
        <w:rPr>
          <w:rFonts w:hint="default" w:ascii="Times New Roman" w:hAnsi="Times New Roman"/>
          <w:sz w:val="28"/>
          <w:szCs w:val="20"/>
          <w:lang w:val="en-US" w:eastAsia="zh-CN"/>
        </w:rPr>
        <w:t>”</w:t>
      </w:r>
      <w:r>
        <w:rPr>
          <w:rFonts w:hint="eastAsia" w:ascii="Times New Roman" w:hAnsi="Times New Roman"/>
          <w:sz w:val="28"/>
          <w:szCs w:val="20"/>
        </w:rPr>
        <w:t xml:space="preserve"> and </w:t>
      </w:r>
      <w:r>
        <w:rPr>
          <w:rFonts w:hint="default" w:ascii="Times New Roman" w:hAnsi="Times New Roman"/>
          <w:sz w:val="28"/>
          <w:szCs w:val="20"/>
          <w:lang w:val="en-US" w:eastAsia="zh-CN"/>
        </w:rPr>
        <w:t>“</w:t>
      </w:r>
      <w:r>
        <w:rPr>
          <w:rFonts w:hint="eastAsia" w:ascii="Times New Roman" w:hAnsi="Times New Roman"/>
          <w:sz w:val="28"/>
          <w:szCs w:val="20"/>
        </w:rPr>
        <w:t>cellular senescence</w:t>
      </w:r>
      <w:r>
        <w:rPr>
          <w:rFonts w:hint="default" w:ascii="Times New Roman" w:hAnsi="Times New Roman"/>
          <w:sz w:val="28"/>
          <w:szCs w:val="20"/>
          <w:lang w:val="en-US" w:eastAsia="zh-CN"/>
        </w:rPr>
        <w:t>”</w:t>
      </w:r>
      <w:r>
        <w:rPr>
          <w:rFonts w:hint="eastAsia" w:ascii="Times New Roman" w:hAnsi="Times New Roman"/>
          <w:sz w:val="28"/>
          <w:szCs w:val="20"/>
        </w:rPr>
        <w:t>.</w:t>
      </w:r>
    </w:p>
    <w:tbl>
      <w:tblPr>
        <w:tblStyle w:val="10"/>
        <w:tblW w:w="220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0"/>
        <w:gridCol w:w="6675"/>
        <w:gridCol w:w="13069"/>
      </w:tblGrid>
      <w:tr w14:paraId="3D19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300" w:type="dxa"/>
            <w:tcBorders>
              <w:bottom w:val="single" w:color="auto" w:sz="12" w:space="0"/>
            </w:tcBorders>
            <w:shd w:val="clear" w:color="auto" w:fill="auto"/>
            <w:vAlign w:val="center"/>
          </w:tcPr>
          <w:p w14:paraId="7FCAE9EB">
            <w:pPr>
              <w:spacing w:after="0" w:line="240" w:lineRule="atLeast"/>
              <w:ind w:left="31" w:leftChars="17"/>
              <w:jc w:val="left"/>
              <w:rPr>
                <w:rFonts w:ascii="Times New Roman" w:hAnsi="Times New Roman" w:eastAsia="宋体" w:cs="Times New Roman"/>
                <w:b/>
                <w:bCs/>
                <w:color w:val="0E101A"/>
                <w:kern w:val="2"/>
                <w:sz w:val="24"/>
                <w:szCs w:val="24"/>
              </w:rPr>
            </w:pPr>
            <w:r>
              <w:rPr>
                <w:rFonts w:hint="eastAsia" w:ascii="Times New Roman" w:hAnsi="Times New Roman" w:eastAsia="宋体" w:cs="Times New Roman"/>
                <w:b/>
                <w:bCs/>
                <w:color w:val="0E101A"/>
                <w:kern w:val="2"/>
                <w:sz w:val="24"/>
                <w:szCs w:val="24"/>
              </w:rPr>
              <w:t>Intervention</w:t>
            </w:r>
          </w:p>
        </w:tc>
        <w:tc>
          <w:tcPr>
            <w:tcW w:w="6675" w:type="dxa"/>
            <w:tcBorders>
              <w:bottom w:val="single" w:color="auto" w:sz="12" w:space="0"/>
            </w:tcBorders>
            <w:shd w:val="clear" w:color="auto" w:fill="auto"/>
            <w:vAlign w:val="center"/>
          </w:tcPr>
          <w:p w14:paraId="267CDEAC">
            <w:pPr>
              <w:spacing w:after="0" w:line="0" w:lineRule="atLeast"/>
              <w:jc w:val="center"/>
              <w:rPr>
                <w:rFonts w:ascii="Times New Roman" w:hAnsi="Times New Roman" w:cs="Times New Roman"/>
                <w:b/>
                <w:bCs/>
                <w:sz w:val="24"/>
                <w:szCs w:val="24"/>
              </w:rPr>
            </w:pPr>
            <w:r>
              <w:rPr>
                <w:rFonts w:ascii="Times New Roman" w:hAnsi="Times New Roman" w:cs="Times New Roman"/>
                <w:b/>
                <w:bCs/>
                <w:sz w:val="24"/>
                <w:szCs w:val="24"/>
              </w:rPr>
              <w:t>T</w:t>
            </w:r>
            <w:r>
              <w:rPr>
                <w:rFonts w:hint="eastAsia" w:ascii="Times New Roman" w:hAnsi="Times New Roman" w:cs="Times New Roman"/>
                <w:b/>
                <w:bCs/>
                <w:sz w:val="24"/>
                <w:szCs w:val="24"/>
              </w:rPr>
              <w:t>heme</w:t>
            </w:r>
          </w:p>
        </w:tc>
        <w:tc>
          <w:tcPr>
            <w:tcW w:w="13069" w:type="dxa"/>
            <w:tcBorders>
              <w:bottom w:val="single" w:color="auto" w:sz="12" w:space="0"/>
            </w:tcBorders>
            <w:shd w:val="clear" w:color="auto" w:fill="auto"/>
            <w:vAlign w:val="center"/>
          </w:tcPr>
          <w:p w14:paraId="1F774188">
            <w:pPr>
              <w:spacing w:after="0" w:line="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Description</w:t>
            </w:r>
          </w:p>
        </w:tc>
      </w:tr>
      <w:tr w14:paraId="5C46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300" w:type="dxa"/>
            <w:tcBorders>
              <w:top w:val="single" w:color="auto" w:sz="12" w:space="0"/>
              <w:bottom w:val="single" w:color="auto" w:sz="12" w:space="0"/>
            </w:tcBorders>
            <w:shd w:val="clear" w:color="auto" w:fill="auto"/>
            <w:vAlign w:val="center"/>
          </w:tcPr>
          <w:p w14:paraId="1EB8920B">
            <w:pPr>
              <w:spacing w:after="0" w:line="0" w:lineRule="atLeast"/>
              <w:ind w:left="31" w:leftChars="17"/>
              <w:jc w:val="left"/>
              <w:rPr>
                <w:rFonts w:ascii="Times New Roman" w:hAnsi="Times New Roman" w:eastAsia="宋体" w:cs="Times New Roman"/>
                <w:b/>
                <w:bCs/>
                <w:color w:val="0E101A"/>
                <w:kern w:val="2"/>
              </w:rPr>
            </w:pPr>
            <w:r>
              <w:rPr>
                <w:rFonts w:ascii="Times New Roman" w:hAnsi="Times New Roman" w:eastAsia="宋体" w:cs="Times New Roman"/>
                <w:b/>
                <w:bCs/>
                <w:color w:val="0E101A"/>
                <w:kern w:val="2"/>
                <w:sz w:val="24"/>
                <w:szCs w:val="24"/>
              </w:rPr>
              <w:t>Supplementation</w:t>
            </w:r>
          </w:p>
        </w:tc>
        <w:tc>
          <w:tcPr>
            <w:tcW w:w="6675" w:type="dxa"/>
            <w:tcBorders>
              <w:top w:val="single" w:color="auto" w:sz="12" w:space="0"/>
              <w:bottom w:val="single" w:color="auto" w:sz="12" w:space="0"/>
            </w:tcBorders>
            <w:shd w:val="clear" w:color="auto" w:fill="auto"/>
            <w:vAlign w:val="center"/>
          </w:tcPr>
          <w:p w14:paraId="29C7663F">
            <w:pPr>
              <w:spacing w:after="0" w:line="0" w:lineRule="atLeast"/>
              <w:jc w:val="center"/>
              <w:rPr>
                <w:rFonts w:ascii="Times New Roman" w:hAnsi="Times New Roman" w:cs="Times New Roman"/>
              </w:rPr>
            </w:pPr>
          </w:p>
        </w:tc>
        <w:tc>
          <w:tcPr>
            <w:tcW w:w="13069" w:type="dxa"/>
            <w:tcBorders>
              <w:top w:val="single" w:color="auto" w:sz="12" w:space="0"/>
              <w:bottom w:val="single" w:color="auto" w:sz="12" w:space="0"/>
            </w:tcBorders>
            <w:shd w:val="clear" w:color="auto" w:fill="auto"/>
            <w:vAlign w:val="center"/>
          </w:tcPr>
          <w:p w14:paraId="61AA45D8">
            <w:pPr>
              <w:spacing w:after="0" w:line="0" w:lineRule="atLeast"/>
              <w:jc w:val="center"/>
              <w:rPr>
                <w:rFonts w:ascii="Times New Roman" w:hAnsi="Times New Roman" w:cs="Times New Roman"/>
              </w:rPr>
            </w:pPr>
          </w:p>
        </w:tc>
      </w:tr>
      <w:tr w14:paraId="24FA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2300" w:type="dxa"/>
            <w:tcBorders>
              <w:top w:val="single" w:color="auto" w:sz="12" w:space="0"/>
              <w:bottom w:val="dashSmallGap" w:color="auto" w:sz="4" w:space="0"/>
            </w:tcBorders>
            <w:shd w:val="clear" w:color="auto" w:fill="auto"/>
            <w:vAlign w:val="center"/>
          </w:tcPr>
          <w:p w14:paraId="0F8B4C78">
            <w:pPr>
              <w:spacing w:after="0" w:line="240" w:lineRule="atLeast"/>
              <w:ind w:left="31" w:leftChars="17"/>
              <w:jc w:val="left"/>
              <w:rPr>
                <w:rFonts w:hint="default" w:ascii="Times New Roman" w:hAnsi="Times New Roman" w:cs="Times New Roman"/>
                <w:sz w:val="21"/>
                <w:szCs w:val="21"/>
              </w:rPr>
            </w:pPr>
            <w:r>
              <w:rPr>
                <w:rFonts w:hint="default" w:ascii="Times New Roman" w:hAnsi="Times New Roman" w:cs="Times New Roman"/>
              </w:rPr>
              <w:t>Urolithin A</w:t>
            </w:r>
          </w:p>
        </w:tc>
        <w:tc>
          <w:tcPr>
            <w:tcW w:w="6675" w:type="dxa"/>
            <w:tcBorders>
              <w:top w:val="single" w:color="auto" w:sz="12" w:space="0"/>
              <w:bottom w:val="dashSmallGap" w:color="auto" w:sz="4" w:space="0"/>
            </w:tcBorders>
            <w:shd w:val="clear" w:color="auto" w:fill="auto"/>
            <w:vAlign w:val="center"/>
          </w:tcPr>
          <w:p w14:paraId="6E015422">
            <w:pPr>
              <w:spacing w:after="0" w:line="0" w:lineRule="atLeast"/>
              <w:jc w:val="left"/>
              <w:rPr>
                <w:rFonts w:hint="default" w:ascii="Times New Roman" w:hAnsi="Times New Roman" w:cs="Times New Roman"/>
              </w:rPr>
            </w:pPr>
            <w:r>
              <w:rPr>
                <w:rFonts w:hint="default" w:ascii="Times New Roman" w:hAnsi="Times New Roman" w:cs="Times New Roman"/>
              </w:rPr>
              <w:t xml:space="preserve">Urolithin A induces mitophagy and prolongs lifespan in </w:t>
            </w:r>
            <w:r>
              <w:rPr>
                <w:rFonts w:hint="default" w:ascii="Times New Roman" w:hAnsi="Times New Roman" w:cs="Times New Roman"/>
                <w:i/>
                <w:iCs/>
              </w:rPr>
              <w:t>C. elegans</w:t>
            </w:r>
            <w:r>
              <w:rPr>
                <w:rFonts w:hint="default" w:ascii="Times New Roman" w:hAnsi="Times New Roman" w:cs="Times New Roman"/>
              </w:rPr>
              <w:t xml:space="preserve"> and increases muscle function in rodents</w:t>
            </w:r>
          </w:p>
        </w:tc>
        <w:tc>
          <w:tcPr>
            <w:tcW w:w="13069" w:type="dxa"/>
            <w:tcBorders>
              <w:top w:val="single" w:color="auto" w:sz="12" w:space="0"/>
              <w:bottom w:val="dashSmallGap" w:color="auto" w:sz="4" w:space="0"/>
            </w:tcBorders>
            <w:shd w:val="clear" w:color="auto" w:fill="auto"/>
            <w:vAlign w:val="center"/>
          </w:tcPr>
          <w:p w14:paraId="44059390">
            <w:pPr>
              <w:spacing w:after="0" w:line="0" w:lineRule="atLeast"/>
              <w:jc w:val="left"/>
              <w:rPr>
                <w:rFonts w:hint="default" w:ascii="Times New Roman" w:hAnsi="Times New Roman" w:cs="Times New Roman"/>
              </w:rPr>
            </w:pPr>
            <w:r>
              <w:rPr>
                <w:rFonts w:hint="default" w:ascii="Times New Roman" w:hAnsi="Times New Roman" w:cs="Times New Roman"/>
              </w:rPr>
              <w:t>In Hidradenitis elegans cryptic rod nematodes, UA prevents the accumulation of dysfunctional mitochondria with age and longevity.</w:t>
            </w:r>
          </w:p>
        </w:tc>
      </w:tr>
      <w:tr w14:paraId="02BB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300" w:type="dxa"/>
            <w:tcBorders>
              <w:top w:val="dashSmallGap" w:color="auto" w:sz="4" w:space="0"/>
              <w:bottom w:val="dashSmallGap" w:color="auto" w:sz="4" w:space="0"/>
            </w:tcBorders>
            <w:shd w:val="clear" w:color="auto" w:fill="auto"/>
            <w:vAlign w:val="center"/>
          </w:tcPr>
          <w:p w14:paraId="45C48B5B">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Coumarin</w:t>
            </w:r>
          </w:p>
        </w:tc>
        <w:tc>
          <w:tcPr>
            <w:tcW w:w="6675" w:type="dxa"/>
            <w:tcBorders>
              <w:top w:val="dashSmallGap" w:color="auto" w:sz="4" w:space="0"/>
              <w:bottom w:val="dashSmallGap" w:color="auto" w:sz="4" w:space="0"/>
            </w:tcBorders>
            <w:shd w:val="clear" w:color="auto" w:fill="auto"/>
            <w:vAlign w:val="center"/>
          </w:tcPr>
          <w:p w14:paraId="20230BEF">
            <w:pPr>
              <w:spacing w:after="0" w:line="0" w:lineRule="atLeast"/>
              <w:jc w:val="left"/>
              <w:rPr>
                <w:rFonts w:hint="default" w:ascii="Times New Roman" w:hAnsi="Times New Roman" w:cs="Times New Roman"/>
              </w:rPr>
            </w:pPr>
            <w:r>
              <w:rPr>
                <w:rFonts w:hint="default" w:ascii="Times New Roman" w:hAnsi="Times New Roman" w:cs="Times New Roman"/>
              </w:rPr>
              <w:t>A drug-like molecule engages nuclear hormone receptor DAF-12/FXR to regulate mitophagy and extend lifespan</w:t>
            </w:r>
          </w:p>
        </w:tc>
        <w:tc>
          <w:tcPr>
            <w:tcW w:w="13069" w:type="dxa"/>
            <w:tcBorders>
              <w:top w:val="dashSmallGap" w:color="auto" w:sz="4" w:space="0"/>
              <w:bottom w:val="dashSmallGap" w:color="auto" w:sz="4" w:space="0"/>
            </w:tcBorders>
            <w:shd w:val="clear" w:color="auto" w:fill="auto"/>
            <w:vAlign w:val="center"/>
          </w:tcPr>
          <w:p w14:paraId="7B8D9C8C">
            <w:pPr>
              <w:spacing w:after="0" w:line="0" w:lineRule="atLeast"/>
              <w:jc w:val="left"/>
              <w:rPr>
                <w:rFonts w:hint="default" w:ascii="Times New Roman" w:hAnsi="Times New Roman" w:cs="Times New Roman"/>
              </w:rPr>
            </w:pPr>
            <w:r>
              <w:rPr>
                <w:rFonts w:hint="default" w:ascii="Times New Roman" w:hAnsi="Times New Roman" w:cs="Times New Roman"/>
              </w:rPr>
              <w:t>MIC effectively enhanced lysosomal function, induced mitochondrial autophagy and improved mitochondrial function in Cryptobacterium hidradii, thereby preventing proteotoxicity and significantly prolonging lifespan.</w:t>
            </w:r>
          </w:p>
        </w:tc>
      </w:tr>
      <w:tr w14:paraId="4C80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2300" w:type="dxa"/>
            <w:tcBorders>
              <w:top w:val="dashSmallGap" w:color="auto" w:sz="4" w:space="0"/>
              <w:bottom w:val="dashSmallGap" w:color="auto" w:sz="4" w:space="0"/>
            </w:tcBorders>
            <w:shd w:val="clear" w:color="auto" w:fill="auto"/>
            <w:vAlign w:val="center"/>
          </w:tcPr>
          <w:p w14:paraId="7404E28E">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Isofalcarintriol</w:t>
            </w:r>
          </w:p>
        </w:tc>
        <w:tc>
          <w:tcPr>
            <w:tcW w:w="6675" w:type="dxa"/>
            <w:tcBorders>
              <w:top w:val="dashSmallGap" w:color="auto" w:sz="4" w:space="0"/>
              <w:bottom w:val="dashSmallGap" w:color="auto" w:sz="4" w:space="0"/>
            </w:tcBorders>
            <w:shd w:val="clear" w:color="auto" w:fill="auto"/>
            <w:vAlign w:val="center"/>
          </w:tcPr>
          <w:p w14:paraId="7A74684E">
            <w:pPr>
              <w:spacing w:after="0" w:line="0" w:lineRule="atLeast"/>
              <w:jc w:val="left"/>
              <w:rPr>
                <w:rFonts w:hint="default" w:ascii="Times New Roman" w:hAnsi="Times New Roman" w:cs="Times New Roman"/>
              </w:rPr>
            </w:pPr>
            <w:r>
              <w:rPr>
                <w:rFonts w:hint="default" w:ascii="Times New Roman" w:hAnsi="Times New Roman" w:cs="Times New Roman"/>
              </w:rPr>
              <w:t>A naturally occurring polyacetylene isolated from carrots promotes health and delays signatures of aging</w:t>
            </w:r>
          </w:p>
        </w:tc>
        <w:tc>
          <w:tcPr>
            <w:tcW w:w="13069" w:type="dxa"/>
            <w:tcBorders>
              <w:top w:val="dashSmallGap" w:color="auto" w:sz="4" w:space="0"/>
              <w:bottom w:val="dashSmallGap" w:color="auto" w:sz="4" w:space="0"/>
            </w:tcBorders>
            <w:shd w:val="clear" w:color="auto" w:fill="auto"/>
            <w:vAlign w:val="center"/>
          </w:tcPr>
          <w:p w14:paraId="5ED27FE1">
            <w:pPr>
              <w:spacing w:after="0" w:line="0" w:lineRule="atLeast"/>
              <w:jc w:val="left"/>
              <w:rPr>
                <w:rFonts w:hint="default" w:ascii="Times New Roman" w:hAnsi="Times New Roman" w:cs="Times New Roman"/>
              </w:rPr>
            </w:pPr>
            <w:r>
              <w:rPr>
                <w:rFonts w:hint="default" w:ascii="Times New Roman" w:hAnsi="Times New Roman" w:cs="Times New Roman"/>
              </w:rPr>
              <w:t>Isofalcarintriol, a natural polyacetylene alcohol, a product extracted from carrots, has shown beneficial health effects in different species, including slowing aging, improving motor function, and energy metabolism.</w:t>
            </w:r>
          </w:p>
        </w:tc>
      </w:tr>
      <w:tr w14:paraId="6C4D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300" w:type="dxa"/>
            <w:tcBorders>
              <w:top w:val="dashSmallGap" w:color="auto" w:sz="4" w:space="0"/>
              <w:bottom w:val="dashSmallGap" w:color="auto" w:sz="4" w:space="0"/>
            </w:tcBorders>
            <w:shd w:val="clear" w:color="auto" w:fill="auto"/>
            <w:vAlign w:val="center"/>
          </w:tcPr>
          <w:p w14:paraId="04007C63">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NAD</w:t>
            </w:r>
            <w:r>
              <w:rPr>
                <w:rFonts w:hint="default" w:ascii="Times New Roman" w:hAnsi="Times New Roman" w:cs="Times New Roman"/>
                <w:vertAlign w:val="superscript"/>
              </w:rPr>
              <w:t>+</w:t>
            </w:r>
            <w:r>
              <w:rPr>
                <w:rFonts w:hint="default" w:ascii="Times New Roman" w:hAnsi="Times New Roman" w:cs="Times New Roman"/>
              </w:rPr>
              <w:t xml:space="preserve"> precursor</w:t>
            </w:r>
          </w:p>
        </w:tc>
        <w:tc>
          <w:tcPr>
            <w:tcW w:w="6675" w:type="dxa"/>
            <w:tcBorders>
              <w:top w:val="dashSmallGap" w:color="auto" w:sz="4" w:space="0"/>
              <w:bottom w:val="dashSmallGap" w:color="auto" w:sz="4" w:space="0"/>
            </w:tcBorders>
            <w:shd w:val="clear" w:color="auto" w:fill="auto"/>
            <w:vAlign w:val="center"/>
          </w:tcPr>
          <w:p w14:paraId="21B0840F">
            <w:pPr>
              <w:spacing w:after="0" w:line="0" w:lineRule="atLeast"/>
              <w:jc w:val="left"/>
              <w:rPr>
                <w:rFonts w:hint="default" w:ascii="Times New Roman" w:hAnsi="Times New Roman" w:cs="Times New Roman"/>
              </w:rPr>
            </w:pPr>
            <w:r>
              <w:rPr>
                <w:rFonts w:hint="default" w:ascii="Times New Roman" w:hAnsi="Times New Roman" w:cs="Times New Roman"/>
              </w:rPr>
              <w:t>Trigonelline is an NAD</w:t>
            </w:r>
            <w:r>
              <w:rPr>
                <w:rFonts w:hint="default" w:ascii="Times New Roman" w:hAnsi="Times New Roman" w:cs="Times New Roman"/>
                <w:vertAlign w:val="superscript"/>
              </w:rPr>
              <w:t>+</w:t>
            </w:r>
            <w:r>
              <w:rPr>
                <w:rFonts w:hint="default" w:ascii="Times New Roman" w:hAnsi="Times New Roman" w:cs="Times New Roman"/>
              </w:rPr>
              <w:t xml:space="preserve"> precursor that improves muscle function during ageing and is reduced in human sarcopenia</w:t>
            </w:r>
          </w:p>
        </w:tc>
        <w:tc>
          <w:tcPr>
            <w:tcW w:w="13069" w:type="dxa"/>
            <w:tcBorders>
              <w:top w:val="dashSmallGap" w:color="auto" w:sz="4" w:space="0"/>
              <w:bottom w:val="dashSmallGap" w:color="auto" w:sz="4" w:space="0"/>
            </w:tcBorders>
            <w:shd w:val="clear" w:color="auto" w:fill="auto"/>
            <w:vAlign w:val="center"/>
          </w:tcPr>
          <w:p w14:paraId="0BC6FFBB">
            <w:pPr>
              <w:spacing w:after="0" w:line="0" w:lineRule="atLeast"/>
              <w:jc w:val="left"/>
              <w:rPr>
                <w:rFonts w:hint="default" w:ascii="Times New Roman" w:hAnsi="Times New Roman" w:cs="Times New Roman"/>
              </w:rPr>
            </w:pPr>
            <w:r>
              <w:rPr>
                <w:rFonts w:hint="default" w:ascii="Times New Roman" w:hAnsi="Times New Roman" w:cs="Times New Roman"/>
              </w:rPr>
              <w:t>This study showed that fenugreek supplementation, which increases NAD</w:t>
            </w:r>
            <w:r>
              <w:rPr>
                <w:rFonts w:hint="default" w:ascii="Times New Roman" w:hAnsi="Times New Roman" w:cs="Times New Roman"/>
                <w:vertAlign w:val="superscript"/>
              </w:rPr>
              <w:t>+</w:t>
            </w:r>
            <w:r>
              <w:rPr>
                <w:rFonts w:hint="default" w:ascii="Times New Roman" w:hAnsi="Times New Roman" w:cs="Times New Roman"/>
              </w:rPr>
              <w:t xml:space="preserve"> levels and mitochondrial activity, helps improve the aging process.</w:t>
            </w:r>
          </w:p>
        </w:tc>
      </w:tr>
      <w:tr w14:paraId="1467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2300" w:type="dxa"/>
            <w:tcBorders>
              <w:top w:val="dashSmallGap" w:color="auto" w:sz="4" w:space="0"/>
              <w:bottom w:val="dashSmallGap" w:color="auto" w:sz="4" w:space="0"/>
            </w:tcBorders>
            <w:shd w:val="clear" w:color="auto" w:fill="auto"/>
            <w:vAlign w:val="center"/>
          </w:tcPr>
          <w:p w14:paraId="6E5ABFC3">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Bone marrow</w:t>
            </w:r>
          </w:p>
        </w:tc>
        <w:tc>
          <w:tcPr>
            <w:tcW w:w="6675" w:type="dxa"/>
            <w:tcBorders>
              <w:top w:val="dashSmallGap" w:color="auto" w:sz="4" w:space="0"/>
              <w:bottom w:val="dashSmallGap" w:color="auto" w:sz="4" w:space="0"/>
            </w:tcBorders>
            <w:shd w:val="clear" w:color="auto" w:fill="auto"/>
            <w:vAlign w:val="center"/>
          </w:tcPr>
          <w:p w14:paraId="2A7B9959">
            <w:pPr>
              <w:spacing w:after="0" w:line="0" w:lineRule="atLeast"/>
              <w:jc w:val="left"/>
              <w:rPr>
                <w:rFonts w:hint="default" w:ascii="Times New Roman" w:hAnsi="Times New Roman" w:cs="Times New Roman"/>
              </w:rPr>
            </w:pPr>
            <w:r>
              <w:rPr>
                <w:rFonts w:hint="default" w:ascii="Times New Roman" w:hAnsi="Times New Roman" w:cs="Times New Roman"/>
              </w:rPr>
              <w:t>Nobiletin fortifies mitochondrial respiration in skeletal muscle to promote healthy aging against metabolic challenge</w:t>
            </w:r>
          </w:p>
        </w:tc>
        <w:tc>
          <w:tcPr>
            <w:tcW w:w="13069" w:type="dxa"/>
            <w:tcBorders>
              <w:top w:val="dashSmallGap" w:color="auto" w:sz="4" w:space="0"/>
              <w:bottom w:val="dashSmallGap" w:color="auto" w:sz="4" w:space="0"/>
            </w:tcBorders>
            <w:shd w:val="clear" w:color="auto" w:fill="auto"/>
            <w:vAlign w:val="center"/>
          </w:tcPr>
          <w:p w14:paraId="62B6A866">
            <w:pPr>
              <w:spacing w:after="0" w:line="0" w:lineRule="atLeast"/>
              <w:jc w:val="left"/>
              <w:rPr>
                <w:rFonts w:hint="default" w:ascii="Times New Roman" w:hAnsi="Times New Roman" w:cs="Times New Roman"/>
              </w:rPr>
            </w:pPr>
            <w:r>
              <w:rPr>
                <w:rFonts w:hint="default" w:ascii="Times New Roman" w:hAnsi="Times New Roman" w:cs="Times New Roman"/>
              </w:rPr>
              <w:t>Elucidating the local mechanisms by which biological clock-targeting drugs optimize skeletal muscle mitochondrial respiration and promote healthy aging in metabolically stressed mammals.</w:t>
            </w:r>
          </w:p>
        </w:tc>
      </w:tr>
      <w:tr w14:paraId="0FE0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300" w:type="dxa"/>
            <w:tcBorders>
              <w:top w:val="dashSmallGap" w:color="auto" w:sz="4" w:space="0"/>
              <w:bottom w:val="dashSmallGap" w:color="auto" w:sz="4" w:space="0"/>
            </w:tcBorders>
            <w:shd w:val="clear" w:color="auto" w:fill="auto"/>
            <w:vAlign w:val="center"/>
          </w:tcPr>
          <w:p w14:paraId="551C0268">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Farnesol</w:t>
            </w:r>
          </w:p>
        </w:tc>
        <w:tc>
          <w:tcPr>
            <w:tcW w:w="6675" w:type="dxa"/>
            <w:tcBorders>
              <w:top w:val="dashSmallGap" w:color="auto" w:sz="4" w:space="0"/>
              <w:bottom w:val="dashSmallGap" w:color="auto" w:sz="4" w:space="0"/>
            </w:tcBorders>
            <w:shd w:val="clear" w:color="auto" w:fill="auto"/>
            <w:vAlign w:val="center"/>
          </w:tcPr>
          <w:p w14:paraId="2E952799">
            <w:pPr>
              <w:spacing w:after="0" w:line="0" w:lineRule="atLeast"/>
              <w:jc w:val="left"/>
              <w:rPr>
                <w:rFonts w:hint="default" w:ascii="Times New Roman" w:hAnsi="Times New Roman" w:cs="Times New Roman"/>
              </w:rPr>
            </w:pPr>
            <w:r>
              <w:rPr>
                <w:rFonts w:hint="default" w:ascii="Times New Roman" w:hAnsi="Times New Roman" w:cs="Times New Roman"/>
              </w:rPr>
              <w:t>Farnesol prevents aging-related muscle weakness in mice through enhanced farnesylation of Parkin-interacting substrate</w:t>
            </w:r>
          </w:p>
        </w:tc>
        <w:tc>
          <w:tcPr>
            <w:tcW w:w="13069" w:type="dxa"/>
            <w:tcBorders>
              <w:top w:val="dashSmallGap" w:color="auto" w:sz="4" w:space="0"/>
              <w:bottom w:val="dashSmallGap" w:color="auto" w:sz="4" w:space="0"/>
            </w:tcBorders>
            <w:shd w:val="clear" w:color="auto" w:fill="auto"/>
            <w:vAlign w:val="center"/>
          </w:tcPr>
          <w:p w14:paraId="2B1CEDED">
            <w:pPr>
              <w:spacing w:after="0" w:line="0" w:lineRule="atLeast"/>
              <w:jc w:val="left"/>
              <w:rPr>
                <w:rFonts w:hint="default" w:ascii="Times New Roman" w:hAnsi="Times New Roman" w:cs="Times New Roman"/>
              </w:rPr>
            </w:pPr>
            <w:r>
              <w:rPr>
                <w:rFonts w:hint="default" w:ascii="Times New Roman" w:hAnsi="Times New Roman" w:cs="Times New Roman"/>
              </w:rPr>
              <w:t>The natural compound farnesol, a potent inducer of PGC-1α, enhances muscle oxidative capacity and muscle strength, and accelerates injury repair.</w:t>
            </w:r>
          </w:p>
        </w:tc>
      </w:tr>
      <w:tr w14:paraId="42A0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309BCE3B">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Ginsenoside Rh4</w:t>
            </w:r>
          </w:p>
        </w:tc>
        <w:tc>
          <w:tcPr>
            <w:tcW w:w="6675" w:type="dxa"/>
            <w:tcBorders>
              <w:top w:val="dashSmallGap" w:color="auto" w:sz="4" w:space="0"/>
              <w:bottom w:val="dashSmallGap" w:color="auto" w:sz="4" w:space="0"/>
            </w:tcBorders>
            <w:shd w:val="clear" w:color="auto" w:fill="auto"/>
            <w:vAlign w:val="center"/>
          </w:tcPr>
          <w:p w14:paraId="64438B8B">
            <w:pPr>
              <w:spacing w:after="0" w:line="0" w:lineRule="atLeast"/>
              <w:jc w:val="left"/>
              <w:rPr>
                <w:rFonts w:hint="default" w:ascii="Times New Roman" w:hAnsi="Times New Roman" w:cs="Times New Roman"/>
              </w:rPr>
            </w:pPr>
            <w:r>
              <w:rPr>
                <w:rFonts w:hint="default" w:ascii="Times New Roman" w:hAnsi="Times New Roman" w:cs="Times New Roman"/>
              </w:rPr>
              <w:t>Ginsenoside Rh4 delays skeletal muscle aging through SIRT1 pathway</w:t>
            </w:r>
          </w:p>
        </w:tc>
        <w:tc>
          <w:tcPr>
            <w:tcW w:w="13069" w:type="dxa"/>
            <w:tcBorders>
              <w:top w:val="dashSmallGap" w:color="auto" w:sz="4" w:space="0"/>
              <w:bottom w:val="dashSmallGap" w:color="auto" w:sz="4" w:space="0"/>
            </w:tcBorders>
            <w:shd w:val="clear" w:color="auto" w:fill="auto"/>
            <w:vAlign w:val="center"/>
          </w:tcPr>
          <w:p w14:paraId="0E4D32BC">
            <w:pPr>
              <w:spacing w:after="0" w:line="0" w:lineRule="atLeast"/>
              <w:jc w:val="left"/>
              <w:rPr>
                <w:rFonts w:hint="default" w:ascii="Times New Roman" w:hAnsi="Times New Roman" w:cs="Times New Roman"/>
              </w:rPr>
            </w:pPr>
            <w:r>
              <w:rPr>
                <w:rFonts w:hint="default" w:ascii="Times New Roman" w:hAnsi="Times New Roman" w:cs="Times New Roman"/>
              </w:rPr>
              <w:t>Ginsenoside Rh4 delays skeletal muscle aging by activating SIRT1, deacetylating Nrf2, regulating PGC-1α-TFAM and HIF-1α-c-Myc pathways, enhancing mitochondrial homeostasis, and improving oxidative stress and inflammation in skeletal muscle.</w:t>
            </w:r>
          </w:p>
        </w:tc>
      </w:tr>
      <w:tr w14:paraId="4B50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300" w:type="dxa"/>
            <w:tcBorders>
              <w:top w:val="dashSmallGap" w:color="auto" w:sz="4" w:space="0"/>
              <w:bottom w:val="dashSmallGap" w:color="auto" w:sz="4" w:space="0"/>
            </w:tcBorders>
            <w:shd w:val="clear" w:color="auto" w:fill="auto"/>
            <w:vAlign w:val="center"/>
          </w:tcPr>
          <w:p w14:paraId="0FDD6B87">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Pyrroloquinoline quinone</w:t>
            </w:r>
          </w:p>
        </w:tc>
        <w:tc>
          <w:tcPr>
            <w:tcW w:w="6675" w:type="dxa"/>
            <w:tcBorders>
              <w:top w:val="dashSmallGap" w:color="auto" w:sz="4" w:space="0"/>
              <w:bottom w:val="dashSmallGap" w:color="auto" w:sz="4" w:space="0"/>
            </w:tcBorders>
            <w:shd w:val="clear" w:color="auto" w:fill="auto"/>
            <w:vAlign w:val="center"/>
          </w:tcPr>
          <w:p w14:paraId="3C72DCE1">
            <w:pPr>
              <w:spacing w:after="0" w:line="0" w:lineRule="atLeast"/>
              <w:jc w:val="left"/>
              <w:rPr>
                <w:rFonts w:hint="default" w:ascii="Times New Roman" w:hAnsi="Times New Roman" w:cs="Times New Roman"/>
              </w:rPr>
            </w:pPr>
            <w:r>
              <w:rPr>
                <w:rFonts w:hint="default" w:ascii="Times New Roman" w:hAnsi="Times New Roman" w:cs="Times New Roman"/>
              </w:rPr>
              <w:t>Nrf2 activation by pyrroloquinoline quinone inhibits natural aging-related intervertebral disk degeneration in mice</w:t>
            </w:r>
          </w:p>
        </w:tc>
        <w:tc>
          <w:tcPr>
            <w:tcW w:w="13069" w:type="dxa"/>
            <w:tcBorders>
              <w:top w:val="dashSmallGap" w:color="auto" w:sz="4" w:space="0"/>
              <w:bottom w:val="dashSmallGap" w:color="auto" w:sz="4" w:space="0"/>
            </w:tcBorders>
            <w:shd w:val="clear" w:color="auto" w:fill="auto"/>
            <w:vAlign w:val="center"/>
          </w:tcPr>
          <w:p w14:paraId="1D907E7B">
            <w:pPr>
              <w:spacing w:after="0" w:line="0" w:lineRule="atLeast"/>
              <w:jc w:val="left"/>
              <w:rPr>
                <w:rFonts w:hint="default" w:ascii="Times New Roman" w:hAnsi="Times New Roman" w:cs="Times New Roman"/>
              </w:rPr>
            </w:pPr>
            <w:r>
              <w:rPr>
                <w:rFonts w:hint="default" w:ascii="Times New Roman" w:hAnsi="Times New Roman" w:cs="Times New Roman"/>
              </w:rPr>
              <w:t>PQQ-mediated Nrf2 activation in osteoblast lineage cells inhibits DNA damage and cellular senescence, promotes mitochondrial biogenesis and increases osteoblastic bone formation.</w:t>
            </w:r>
          </w:p>
        </w:tc>
      </w:tr>
      <w:tr w14:paraId="2BBC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300" w:type="dxa"/>
            <w:tcBorders>
              <w:top w:val="dashSmallGap" w:color="auto" w:sz="4" w:space="0"/>
              <w:bottom w:val="dashSmallGap" w:color="auto" w:sz="4" w:space="0"/>
            </w:tcBorders>
            <w:shd w:val="clear" w:color="auto" w:fill="auto"/>
            <w:vAlign w:val="center"/>
          </w:tcPr>
          <w:p w14:paraId="79B660C3">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Huperzine</w:t>
            </w:r>
          </w:p>
        </w:tc>
        <w:tc>
          <w:tcPr>
            <w:tcW w:w="6675" w:type="dxa"/>
            <w:tcBorders>
              <w:top w:val="dashSmallGap" w:color="auto" w:sz="4" w:space="0"/>
              <w:bottom w:val="dashSmallGap" w:color="auto" w:sz="4" w:space="0"/>
            </w:tcBorders>
            <w:shd w:val="clear" w:color="auto" w:fill="auto"/>
            <w:vAlign w:val="center"/>
          </w:tcPr>
          <w:p w14:paraId="64AB11EC">
            <w:pPr>
              <w:spacing w:after="0" w:line="0" w:lineRule="atLeast"/>
              <w:jc w:val="left"/>
              <w:rPr>
                <w:rFonts w:hint="default" w:ascii="Times New Roman" w:hAnsi="Times New Roman" w:cs="Times New Roman"/>
              </w:rPr>
            </w:pPr>
            <w:r>
              <w:rPr>
                <w:rFonts w:hint="default" w:ascii="Times New Roman" w:hAnsi="Times New Roman" w:cs="Times New Roman"/>
              </w:rPr>
              <w:t>Activation of Sirtuin3 by honokiol ameliorates alveolar epithelial cell senescence in experimental silicosis via the cGAS-STING pathway</w:t>
            </w:r>
          </w:p>
        </w:tc>
        <w:tc>
          <w:tcPr>
            <w:tcW w:w="13069" w:type="dxa"/>
            <w:tcBorders>
              <w:top w:val="dashSmallGap" w:color="auto" w:sz="4" w:space="0"/>
              <w:bottom w:val="dashSmallGap" w:color="auto" w:sz="4" w:space="0"/>
            </w:tcBorders>
            <w:shd w:val="clear" w:color="auto" w:fill="auto"/>
            <w:vAlign w:val="center"/>
          </w:tcPr>
          <w:p w14:paraId="11DB78F5">
            <w:pPr>
              <w:spacing w:after="0" w:line="0" w:lineRule="atLeast"/>
              <w:jc w:val="left"/>
              <w:rPr>
                <w:rFonts w:hint="default" w:ascii="Times New Roman" w:hAnsi="Times New Roman" w:cs="Times New Roman"/>
              </w:rPr>
            </w:pPr>
            <w:r>
              <w:rPr>
                <w:rFonts w:hint="default" w:ascii="Times New Roman" w:hAnsi="Times New Roman" w:cs="Times New Roman"/>
              </w:rPr>
              <w:t>Huperzine (HKL) modulates the cGAS/STING pathway, reduces mitochondrial DNA damage and leakage, and exerts anti-fibrotic and cellular senescence effects.</w:t>
            </w:r>
          </w:p>
        </w:tc>
      </w:tr>
      <w:tr w14:paraId="1EE5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300" w:type="dxa"/>
            <w:tcBorders>
              <w:top w:val="dashSmallGap" w:color="auto" w:sz="4" w:space="0"/>
              <w:bottom w:val="dashSmallGap" w:color="auto" w:sz="4" w:space="0"/>
            </w:tcBorders>
            <w:shd w:val="clear" w:color="auto" w:fill="auto"/>
            <w:vAlign w:val="center"/>
          </w:tcPr>
          <w:p w14:paraId="67D48D8D">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Resveratrol</w:t>
            </w:r>
          </w:p>
        </w:tc>
        <w:tc>
          <w:tcPr>
            <w:tcW w:w="6675" w:type="dxa"/>
            <w:tcBorders>
              <w:top w:val="dashSmallGap" w:color="auto" w:sz="4" w:space="0"/>
              <w:bottom w:val="dashSmallGap" w:color="auto" w:sz="4" w:space="0"/>
            </w:tcBorders>
            <w:shd w:val="clear" w:color="auto" w:fill="auto"/>
            <w:vAlign w:val="center"/>
          </w:tcPr>
          <w:p w14:paraId="6047419F">
            <w:pPr>
              <w:spacing w:after="0" w:line="0" w:lineRule="atLeast"/>
              <w:jc w:val="left"/>
              <w:rPr>
                <w:rFonts w:hint="default" w:ascii="Times New Roman" w:hAnsi="Times New Roman" w:cs="Times New Roman"/>
              </w:rPr>
            </w:pPr>
            <w:r>
              <w:rPr>
                <w:rFonts w:hint="default" w:ascii="Times New Roman" w:hAnsi="Times New Roman" w:cs="Times New Roman"/>
              </w:rPr>
              <w:t>Resveratrol activates autophagy and protects from UVA-induced photoaging in human skin fibroblasts and the skin of male mice by regulating the AMPK pathway</w:t>
            </w:r>
          </w:p>
        </w:tc>
        <w:tc>
          <w:tcPr>
            <w:tcW w:w="13069" w:type="dxa"/>
            <w:tcBorders>
              <w:top w:val="dashSmallGap" w:color="auto" w:sz="4" w:space="0"/>
              <w:bottom w:val="dashSmallGap" w:color="auto" w:sz="4" w:space="0"/>
            </w:tcBorders>
            <w:shd w:val="clear" w:color="auto" w:fill="auto"/>
            <w:vAlign w:val="center"/>
          </w:tcPr>
          <w:p w14:paraId="28AD6414">
            <w:pPr>
              <w:spacing w:after="0" w:line="0" w:lineRule="atLeast"/>
              <w:jc w:val="left"/>
              <w:rPr>
                <w:rFonts w:hint="default" w:ascii="Times New Roman" w:hAnsi="Times New Roman" w:cs="Times New Roman"/>
              </w:rPr>
            </w:pPr>
            <w:r>
              <w:rPr>
                <w:rFonts w:hint="default" w:ascii="Times New Roman" w:hAnsi="Times New Roman" w:cs="Times New Roman"/>
              </w:rPr>
              <w:t>Resveratrol promotes the phosphorylation of AMP-activated protein kinase (AMPK), activates autophagy, reduces the production of reactive oxygen species (ROS), inhibits apoptosis, and restores the normal cell cycle to mitigate ultraviolet A (UVA)-induced photoaging.</w:t>
            </w:r>
          </w:p>
        </w:tc>
      </w:tr>
      <w:tr w14:paraId="3F0F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5662749D">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Anthocyanins</w:t>
            </w:r>
          </w:p>
        </w:tc>
        <w:tc>
          <w:tcPr>
            <w:tcW w:w="6675" w:type="dxa"/>
            <w:tcBorders>
              <w:top w:val="dashSmallGap" w:color="auto" w:sz="4" w:space="0"/>
              <w:bottom w:val="dashSmallGap" w:color="auto" w:sz="4" w:space="0"/>
            </w:tcBorders>
            <w:shd w:val="clear" w:color="auto" w:fill="auto"/>
            <w:vAlign w:val="center"/>
          </w:tcPr>
          <w:p w14:paraId="1A20858D">
            <w:pPr>
              <w:spacing w:after="0" w:line="0" w:lineRule="atLeast"/>
              <w:jc w:val="left"/>
              <w:rPr>
                <w:rFonts w:hint="default" w:ascii="Times New Roman" w:hAnsi="Times New Roman" w:cs="Times New Roman"/>
              </w:rPr>
            </w:pPr>
            <w:r>
              <w:rPr>
                <w:rFonts w:hint="default" w:ascii="Times New Roman" w:hAnsi="Times New Roman" w:cs="Times New Roman"/>
              </w:rPr>
              <w:t>Anti-aging effects and mechanisms of anthocyanins and their intestinal microflora metabolites</w:t>
            </w:r>
          </w:p>
        </w:tc>
        <w:tc>
          <w:tcPr>
            <w:tcW w:w="13069" w:type="dxa"/>
            <w:tcBorders>
              <w:top w:val="dashSmallGap" w:color="auto" w:sz="4" w:space="0"/>
              <w:bottom w:val="dashSmallGap" w:color="auto" w:sz="4" w:space="0"/>
            </w:tcBorders>
            <w:shd w:val="clear" w:color="auto" w:fill="auto"/>
            <w:vAlign w:val="center"/>
          </w:tcPr>
          <w:p w14:paraId="6CB035E1">
            <w:pPr>
              <w:spacing w:after="0" w:line="0" w:lineRule="atLeast"/>
              <w:jc w:val="left"/>
              <w:rPr>
                <w:rFonts w:hint="default" w:ascii="Times New Roman" w:hAnsi="Times New Roman" w:cs="Times New Roman"/>
              </w:rPr>
            </w:pPr>
            <w:r>
              <w:rPr>
                <w:rFonts w:hint="default" w:ascii="Times New Roman" w:hAnsi="Times New Roman" w:cs="Times New Roman"/>
              </w:rPr>
              <w:t>Anthocyanins and intestinal metabolites showed excellent anti-aging ability in H. hidradii nematode, Drosophila melanogaster and mouse models, which may be associated with increased antioxidant, anti-inflammatory, protein homeostasis, anti-glycation, mitochondrial function and inhibition of insulin/IGF-1 signaling (IIS).</w:t>
            </w:r>
          </w:p>
        </w:tc>
      </w:tr>
      <w:tr w14:paraId="07A9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300" w:type="dxa"/>
            <w:tcBorders>
              <w:top w:val="dashSmallGap" w:color="auto" w:sz="4" w:space="0"/>
              <w:bottom w:val="dashSmallGap" w:color="auto" w:sz="4" w:space="0"/>
            </w:tcBorders>
            <w:shd w:val="clear" w:color="auto" w:fill="auto"/>
            <w:vAlign w:val="center"/>
          </w:tcPr>
          <w:p w14:paraId="62EDA5F3">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Astaxanthin</w:t>
            </w:r>
          </w:p>
        </w:tc>
        <w:tc>
          <w:tcPr>
            <w:tcW w:w="6675" w:type="dxa"/>
            <w:tcBorders>
              <w:top w:val="dashSmallGap" w:color="auto" w:sz="4" w:space="0"/>
              <w:bottom w:val="dashSmallGap" w:color="auto" w:sz="4" w:space="0"/>
            </w:tcBorders>
            <w:shd w:val="clear" w:color="auto" w:fill="auto"/>
            <w:vAlign w:val="center"/>
          </w:tcPr>
          <w:p w14:paraId="52043BA2">
            <w:pPr>
              <w:spacing w:after="0" w:line="0" w:lineRule="atLeast"/>
              <w:jc w:val="left"/>
              <w:rPr>
                <w:rFonts w:hint="default" w:ascii="Times New Roman" w:hAnsi="Times New Roman" w:cs="Times New Roman"/>
              </w:rPr>
            </w:pPr>
            <w:r>
              <w:rPr>
                <w:rFonts w:hint="default" w:ascii="Times New Roman" w:hAnsi="Times New Roman" w:cs="Times New Roman"/>
              </w:rPr>
              <w:t>Astaxanthin modulates age-associated mitochondrial dysfunction in healthy dogs</w:t>
            </w:r>
          </w:p>
        </w:tc>
        <w:tc>
          <w:tcPr>
            <w:tcW w:w="13069" w:type="dxa"/>
            <w:tcBorders>
              <w:top w:val="dashSmallGap" w:color="auto" w:sz="4" w:space="0"/>
              <w:bottom w:val="dashSmallGap" w:color="auto" w:sz="4" w:space="0"/>
            </w:tcBorders>
            <w:shd w:val="clear" w:color="auto" w:fill="auto"/>
            <w:vAlign w:val="center"/>
          </w:tcPr>
          <w:p w14:paraId="0770A653">
            <w:pPr>
              <w:spacing w:after="0" w:line="0" w:lineRule="atLeast"/>
              <w:jc w:val="left"/>
              <w:rPr>
                <w:rFonts w:hint="default" w:ascii="Times New Roman" w:hAnsi="Times New Roman" w:cs="Times New Roman"/>
              </w:rPr>
            </w:pPr>
            <w:r>
              <w:rPr>
                <w:rFonts w:hint="default" w:ascii="Times New Roman" w:hAnsi="Times New Roman" w:cs="Times New Roman"/>
              </w:rPr>
              <w:t xml:space="preserve">In in </w:t>
            </w:r>
            <w:r>
              <w:rPr>
                <w:rFonts w:hint="default" w:ascii="Times New Roman" w:hAnsi="Times New Roman" w:cs="Times New Roman"/>
                <w:i/>
                <w:iCs/>
              </w:rPr>
              <w:t>vivo</w:t>
            </w:r>
            <w:r>
              <w:rPr>
                <w:rFonts w:hint="default" w:ascii="Times New Roman" w:hAnsi="Times New Roman" w:cs="Times New Roman"/>
              </w:rPr>
              <w:t xml:space="preserve"> tests, oxidative damage was greatly reduced and impaired mitochondrial function was restored in the older group (dogs) by astaxanthin treatment.</w:t>
            </w:r>
          </w:p>
        </w:tc>
      </w:tr>
      <w:tr w14:paraId="6E07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2300" w:type="dxa"/>
            <w:tcBorders>
              <w:top w:val="dashSmallGap" w:color="auto" w:sz="4" w:space="0"/>
              <w:bottom w:val="dashSmallGap" w:color="auto" w:sz="4" w:space="0"/>
            </w:tcBorders>
            <w:shd w:val="clear" w:color="auto" w:fill="auto"/>
            <w:vAlign w:val="center"/>
          </w:tcPr>
          <w:p w14:paraId="086AF6D5">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Sesamin</w:t>
            </w:r>
          </w:p>
        </w:tc>
        <w:tc>
          <w:tcPr>
            <w:tcW w:w="6675" w:type="dxa"/>
            <w:tcBorders>
              <w:top w:val="dashSmallGap" w:color="auto" w:sz="4" w:space="0"/>
              <w:bottom w:val="dashSmallGap" w:color="auto" w:sz="4" w:space="0"/>
            </w:tcBorders>
            <w:shd w:val="clear" w:color="auto" w:fill="auto"/>
            <w:vAlign w:val="center"/>
          </w:tcPr>
          <w:p w14:paraId="0A8BEF4C">
            <w:pPr>
              <w:spacing w:after="0" w:line="0" w:lineRule="atLeast"/>
              <w:jc w:val="left"/>
              <w:rPr>
                <w:rFonts w:hint="default" w:ascii="Times New Roman" w:hAnsi="Times New Roman" w:cs="Times New Roman"/>
              </w:rPr>
            </w:pPr>
            <w:r>
              <w:rPr>
                <w:rFonts w:hint="default" w:ascii="Times New Roman" w:hAnsi="Times New Roman" w:cs="Times New Roman"/>
              </w:rPr>
              <w:t>Sesamin Metabolites Suppress the Induction of Cellular Senescence</w:t>
            </w:r>
          </w:p>
        </w:tc>
        <w:tc>
          <w:tcPr>
            <w:tcW w:w="13069" w:type="dxa"/>
            <w:tcBorders>
              <w:top w:val="dashSmallGap" w:color="auto" w:sz="4" w:space="0"/>
              <w:bottom w:val="dashSmallGap" w:color="auto" w:sz="4" w:space="0"/>
            </w:tcBorders>
            <w:shd w:val="clear" w:color="auto" w:fill="auto"/>
            <w:vAlign w:val="center"/>
          </w:tcPr>
          <w:p w14:paraId="3567E6A4">
            <w:pPr>
              <w:spacing w:after="0" w:line="0" w:lineRule="atLeast"/>
              <w:jc w:val="left"/>
              <w:rPr>
                <w:rFonts w:hint="default" w:ascii="Times New Roman" w:hAnsi="Times New Roman" w:cs="Times New Roman"/>
              </w:rPr>
            </w:pPr>
            <w:r>
              <w:rPr>
                <w:rFonts w:hint="default" w:ascii="Times New Roman" w:hAnsi="Times New Roman" w:cs="Times New Roman"/>
              </w:rPr>
              <w:t>Sesquiterpene metabolites SC1 and EC1-2 may inhibit the induction of cellular senescence during aging by maintaining mitochondrial function and reducing DNA damage caused by mitochondrial-derived ROS.</w:t>
            </w:r>
          </w:p>
        </w:tc>
      </w:tr>
      <w:tr w14:paraId="3B52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2300" w:type="dxa"/>
            <w:tcBorders>
              <w:top w:val="dashSmallGap" w:color="auto" w:sz="4" w:space="0"/>
              <w:bottom w:val="dashSmallGap" w:color="auto" w:sz="4" w:space="0"/>
            </w:tcBorders>
            <w:shd w:val="clear" w:color="auto" w:fill="auto"/>
            <w:vAlign w:val="center"/>
          </w:tcPr>
          <w:p w14:paraId="40008F2D">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Grape Seed Proanthocyanidin Extract</w:t>
            </w:r>
          </w:p>
        </w:tc>
        <w:tc>
          <w:tcPr>
            <w:tcW w:w="6675" w:type="dxa"/>
            <w:tcBorders>
              <w:top w:val="dashSmallGap" w:color="auto" w:sz="4" w:space="0"/>
              <w:bottom w:val="dashSmallGap" w:color="auto" w:sz="4" w:space="0"/>
            </w:tcBorders>
            <w:shd w:val="clear" w:color="auto" w:fill="auto"/>
            <w:vAlign w:val="center"/>
          </w:tcPr>
          <w:p w14:paraId="708194C6">
            <w:pPr>
              <w:spacing w:after="0" w:line="0" w:lineRule="atLeast"/>
              <w:jc w:val="left"/>
              <w:rPr>
                <w:rFonts w:hint="default" w:ascii="Times New Roman" w:hAnsi="Times New Roman" w:cs="Times New Roman"/>
              </w:rPr>
            </w:pPr>
            <w:r>
              <w:rPr>
                <w:rFonts w:hint="default" w:ascii="Times New Roman" w:hAnsi="Times New Roman" w:cs="Times New Roman"/>
              </w:rPr>
              <w:t>Grape Seed Proanthocyanidin Extract Moderated Retinal Pigment Epithelium Cellular Senescence Through NAMPT/SIRT1/NLRP3 Pathway</w:t>
            </w:r>
          </w:p>
        </w:tc>
        <w:tc>
          <w:tcPr>
            <w:tcW w:w="13069" w:type="dxa"/>
            <w:tcBorders>
              <w:top w:val="dashSmallGap" w:color="auto" w:sz="4" w:space="0"/>
              <w:bottom w:val="dashSmallGap" w:color="auto" w:sz="4" w:space="0"/>
            </w:tcBorders>
            <w:shd w:val="clear" w:color="auto" w:fill="auto"/>
            <w:vAlign w:val="center"/>
          </w:tcPr>
          <w:p w14:paraId="3635718E">
            <w:pPr>
              <w:spacing w:after="0" w:line="0" w:lineRule="atLeast"/>
              <w:jc w:val="left"/>
              <w:rPr>
                <w:rFonts w:hint="default" w:ascii="Times New Roman" w:hAnsi="Times New Roman" w:cs="Times New Roman"/>
              </w:rPr>
            </w:pPr>
            <w:r>
              <w:rPr>
                <w:rFonts w:hint="default" w:ascii="Times New Roman" w:hAnsi="Times New Roman" w:cs="Times New Roman"/>
              </w:rPr>
              <w:t>Grape seed proanthocyanidin extract (GSPE) attenuates retinal pigment epithelial (RPE) cell senescence by modulating the NAMPT/SIRT1/NLRP3 pathway.</w:t>
            </w:r>
          </w:p>
        </w:tc>
      </w:tr>
      <w:tr w14:paraId="6F27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5C304D3B">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Capsaicin</w:t>
            </w:r>
          </w:p>
        </w:tc>
        <w:tc>
          <w:tcPr>
            <w:tcW w:w="6675" w:type="dxa"/>
            <w:tcBorders>
              <w:top w:val="dashSmallGap" w:color="auto" w:sz="4" w:space="0"/>
              <w:bottom w:val="dashSmallGap" w:color="auto" w:sz="4" w:space="0"/>
            </w:tcBorders>
            <w:shd w:val="clear" w:color="auto" w:fill="auto"/>
            <w:vAlign w:val="center"/>
          </w:tcPr>
          <w:p w14:paraId="440FC3E6">
            <w:pPr>
              <w:spacing w:after="0" w:line="0" w:lineRule="atLeast"/>
              <w:jc w:val="left"/>
              <w:rPr>
                <w:rFonts w:hint="default" w:ascii="Times New Roman" w:hAnsi="Times New Roman" w:cs="Times New Roman"/>
              </w:rPr>
            </w:pPr>
            <w:r>
              <w:rPr>
                <w:rFonts w:hint="default" w:ascii="Times New Roman" w:hAnsi="Times New Roman" w:cs="Times New Roman"/>
              </w:rPr>
              <w:t xml:space="preserve">Capsaicin inhibits A7r5 cell senescence via the mitochondrial carrier </w:t>
            </w:r>
          </w:p>
          <w:p w14:paraId="2BDB24E0">
            <w:pPr>
              <w:spacing w:after="0" w:line="0" w:lineRule="atLeast"/>
              <w:jc w:val="left"/>
              <w:rPr>
                <w:rFonts w:hint="default" w:ascii="Times New Roman" w:hAnsi="Times New Roman" w:cs="Times New Roman"/>
              </w:rPr>
            </w:pPr>
            <w:r>
              <w:rPr>
                <w:rFonts w:hint="default" w:ascii="Times New Roman" w:hAnsi="Times New Roman" w:cs="Times New Roman"/>
              </w:rPr>
              <w:t>protein Slc25a12</w:t>
            </w:r>
          </w:p>
        </w:tc>
        <w:tc>
          <w:tcPr>
            <w:tcW w:w="13069" w:type="dxa"/>
            <w:tcBorders>
              <w:top w:val="dashSmallGap" w:color="auto" w:sz="4" w:space="0"/>
              <w:bottom w:val="dashSmallGap" w:color="auto" w:sz="4" w:space="0"/>
            </w:tcBorders>
            <w:shd w:val="clear" w:color="auto" w:fill="auto"/>
            <w:vAlign w:val="center"/>
          </w:tcPr>
          <w:p w14:paraId="11226272">
            <w:pPr>
              <w:spacing w:after="0" w:line="0" w:lineRule="atLeast"/>
              <w:jc w:val="left"/>
              <w:rPr>
                <w:rFonts w:hint="default" w:ascii="Times New Roman" w:hAnsi="Times New Roman" w:cs="Times New Roman"/>
              </w:rPr>
            </w:pPr>
            <w:r>
              <w:rPr>
                <w:rFonts w:hint="default" w:ascii="Times New Roman" w:hAnsi="Times New Roman" w:cs="Times New Roman"/>
              </w:rPr>
              <w:t>Capsaicin inhibits high glucose-induced senescence in A7r5 cells by regulating the mitochondrial carrier protein Slc25a12.</w:t>
            </w:r>
          </w:p>
        </w:tc>
      </w:tr>
      <w:tr w14:paraId="52FC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5540340B">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Taurine and Berberine</w:t>
            </w:r>
          </w:p>
        </w:tc>
        <w:tc>
          <w:tcPr>
            <w:tcW w:w="6675" w:type="dxa"/>
            <w:tcBorders>
              <w:top w:val="dashSmallGap" w:color="auto" w:sz="4" w:space="0"/>
              <w:bottom w:val="dashSmallGap" w:color="auto" w:sz="4" w:space="0"/>
            </w:tcBorders>
            <w:shd w:val="clear" w:color="auto" w:fill="auto"/>
            <w:vAlign w:val="center"/>
          </w:tcPr>
          <w:p w14:paraId="1B1961E4">
            <w:pPr>
              <w:spacing w:after="0" w:line="0" w:lineRule="atLeast"/>
              <w:jc w:val="left"/>
              <w:rPr>
                <w:rFonts w:hint="default" w:ascii="Times New Roman" w:hAnsi="Times New Roman" w:cs="Times New Roman"/>
              </w:rPr>
            </w:pPr>
            <w:r>
              <w:rPr>
                <w:rFonts w:hint="default" w:ascii="Times New Roman" w:hAnsi="Times New Roman" w:cs="Times New Roman"/>
              </w:rPr>
              <w:t>Taurine and Berberine: Nutritional Interventions Targeting Cellular Mechanisms of Aging and Longevity.</w:t>
            </w:r>
          </w:p>
        </w:tc>
        <w:tc>
          <w:tcPr>
            <w:tcW w:w="13069" w:type="dxa"/>
            <w:tcBorders>
              <w:top w:val="dashSmallGap" w:color="auto" w:sz="4" w:space="0"/>
              <w:bottom w:val="dashSmallGap" w:color="auto" w:sz="4" w:space="0"/>
            </w:tcBorders>
            <w:shd w:val="clear" w:color="auto" w:fill="auto"/>
            <w:vAlign w:val="center"/>
          </w:tcPr>
          <w:p w14:paraId="37CD1DC7">
            <w:pPr>
              <w:spacing w:after="0" w:line="0" w:lineRule="atLeast"/>
              <w:jc w:val="left"/>
              <w:rPr>
                <w:rFonts w:hint="default" w:ascii="Times New Roman" w:hAnsi="Times New Roman" w:cs="Times New Roman"/>
              </w:rPr>
            </w:pPr>
            <w:r>
              <w:rPr>
                <w:rFonts w:hint="default" w:ascii="Times New Roman" w:hAnsi="Times New Roman" w:cs="Times New Roman"/>
              </w:rPr>
              <w:t>Taurine is a sulphur-containing amino acid that plays an important role in mitochondrial protection and antioxidant defence, and berberine is an isoquinoline alkaloid that exerts anti-aging effects by modulating key signalling pathways (AMPK, mTOR, etc.). Animal studies have demonstrated their potential to extend healthy lifespan, but human clinical trials remain limited.</w:t>
            </w:r>
          </w:p>
        </w:tc>
      </w:tr>
      <w:tr w14:paraId="7A3C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0" w:type="dxa"/>
            <w:tcBorders>
              <w:top w:val="dashSmallGap" w:color="auto" w:sz="4" w:space="0"/>
              <w:bottom w:val="dashSmallGap" w:color="auto" w:sz="4" w:space="0"/>
            </w:tcBorders>
            <w:shd w:val="clear" w:color="auto" w:fill="auto"/>
            <w:vAlign w:val="center"/>
          </w:tcPr>
          <w:p w14:paraId="2F4D3982">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Salidroside</w:t>
            </w:r>
          </w:p>
        </w:tc>
        <w:tc>
          <w:tcPr>
            <w:tcW w:w="6675" w:type="dxa"/>
            <w:tcBorders>
              <w:top w:val="dashSmallGap" w:color="auto" w:sz="4" w:space="0"/>
              <w:bottom w:val="dashSmallGap" w:color="auto" w:sz="4" w:space="0"/>
            </w:tcBorders>
            <w:shd w:val="clear" w:color="auto" w:fill="auto"/>
            <w:vAlign w:val="center"/>
          </w:tcPr>
          <w:p w14:paraId="40A40AD1">
            <w:pPr>
              <w:spacing w:after="0" w:line="0" w:lineRule="atLeast"/>
              <w:jc w:val="left"/>
              <w:rPr>
                <w:rFonts w:hint="default" w:ascii="Times New Roman" w:hAnsi="Times New Roman" w:cs="Times New Roman"/>
              </w:rPr>
            </w:pPr>
            <w:r>
              <w:rPr>
                <w:rFonts w:hint="default" w:ascii="Times New Roman" w:hAnsi="Times New Roman" w:cs="Times New Roman"/>
              </w:rPr>
              <w:t xml:space="preserve">Salidroside Delays Cellular Senescence by Stimulating </w:t>
            </w:r>
          </w:p>
          <w:p w14:paraId="703FBE8D">
            <w:pPr>
              <w:spacing w:after="0" w:line="0" w:lineRule="atLeast"/>
              <w:jc w:val="left"/>
              <w:rPr>
                <w:rFonts w:hint="default" w:ascii="Times New Roman" w:hAnsi="Times New Roman" w:cs="Times New Roman"/>
              </w:rPr>
            </w:pPr>
            <w:r>
              <w:rPr>
                <w:rFonts w:hint="default" w:ascii="Times New Roman" w:hAnsi="Times New Roman" w:cs="Times New Roman"/>
              </w:rPr>
              <w:t>Mitochondrial Biogenesis Partly through a miR-22/SIRT-1 Pathway</w:t>
            </w:r>
          </w:p>
        </w:tc>
        <w:tc>
          <w:tcPr>
            <w:tcW w:w="13069" w:type="dxa"/>
            <w:tcBorders>
              <w:top w:val="dashSmallGap" w:color="auto" w:sz="4" w:space="0"/>
              <w:bottom w:val="dashSmallGap" w:color="auto" w:sz="4" w:space="0"/>
            </w:tcBorders>
            <w:shd w:val="clear" w:color="auto" w:fill="auto"/>
            <w:vAlign w:val="center"/>
          </w:tcPr>
          <w:p w14:paraId="587E2421">
            <w:pPr>
              <w:spacing w:after="0" w:line="0" w:lineRule="atLeast"/>
              <w:jc w:val="left"/>
              <w:rPr>
                <w:rFonts w:hint="default" w:ascii="Times New Roman" w:hAnsi="Times New Roman" w:cs="Times New Roman"/>
              </w:rPr>
            </w:pPr>
            <w:r>
              <w:rPr>
                <w:rFonts w:hint="default" w:ascii="Times New Roman" w:hAnsi="Times New Roman" w:cs="Times New Roman"/>
              </w:rPr>
              <w:t>SAL delays cellular senescence by stimulating mitochondrial biogenesis, in part through the miR-22/SIRT1 pathway. Significantly delayed replicative senescence and increased mitochondrial mass and function in human fibroblasts.</w:t>
            </w:r>
          </w:p>
        </w:tc>
      </w:tr>
      <w:tr w14:paraId="59CA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0B38A724">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Polyphenols</w:t>
            </w:r>
          </w:p>
        </w:tc>
        <w:tc>
          <w:tcPr>
            <w:tcW w:w="6675" w:type="dxa"/>
            <w:tcBorders>
              <w:top w:val="dashSmallGap" w:color="auto" w:sz="4" w:space="0"/>
              <w:bottom w:val="dashSmallGap" w:color="auto" w:sz="4" w:space="0"/>
            </w:tcBorders>
            <w:shd w:val="clear" w:color="auto" w:fill="auto"/>
            <w:vAlign w:val="center"/>
          </w:tcPr>
          <w:p w14:paraId="1770C9DA">
            <w:pPr>
              <w:spacing w:after="0" w:line="0" w:lineRule="atLeast"/>
              <w:jc w:val="left"/>
              <w:rPr>
                <w:rFonts w:hint="default" w:ascii="Times New Roman" w:hAnsi="Times New Roman" w:cs="Times New Roman"/>
              </w:rPr>
            </w:pPr>
            <w:r>
              <w:rPr>
                <w:rFonts w:hint="default" w:ascii="Times New Roman" w:hAnsi="Times New Roman" w:cs="Times New Roman"/>
              </w:rPr>
              <w:t>Protective Role of Polyphenols against Vascular Inflammation, Aging and Cardiovascular Disease</w:t>
            </w:r>
          </w:p>
        </w:tc>
        <w:tc>
          <w:tcPr>
            <w:tcW w:w="13069" w:type="dxa"/>
            <w:tcBorders>
              <w:top w:val="dashSmallGap" w:color="auto" w:sz="4" w:space="0"/>
              <w:bottom w:val="dashSmallGap" w:color="auto" w:sz="4" w:space="0"/>
            </w:tcBorders>
            <w:shd w:val="clear" w:color="auto" w:fill="auto"/>
            <w:vAlign w:val="center"/>
          </w:tcPr>
          <w:p w14:paraId="5CFC6565">
            <w:pPr>
              <w:spacing w:after="0" w:line="0" w:lineRule="atLeast"/>
              <w:jc w:val="left"/>
              <w:rPr>
                <w:rFonts w:hint="default" w:ascii="Times New Roman" w:hAnsi="Times New Roman" w:cs="Times New Roman"/>
              </w:rPr>
            </w:pPr>
            <w:r>
              <w:rPr>
                <w:rFonts w:hint="default" w:ascii="Times New Roman" w:hAnsi="Times New Roman" w:cs="Times New Roman"/>
              </w:rPr>
              <w:t>Polyphenols have antioxidant and anti-inflammatory properties that are protective against cardiovascular disease (CVD), among others. Polyphenols reduce inflammation and cellular senescence by increasing antioxidant capacity, improving mitochondrial function and promoting autophagy.</w:t>
            </w:r>
          </w:p>
        </w:tc>
      </w:tr>
      <w:tr w14:paraId="384E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4F3C4E68">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Green tea EGCG</w:t>
            </w:r>
          </w:p>
        </w:tc>
        <w:tc>
          <w:tcPr>
            <w:tcW w:w="6675" w:type="dxa"/>
            <w:tcBorders>
              <w:top w:val="dashSmallGap" w:color="auto" w:sz="4" w:space="0"/>
              <w:bottom w:val="dashSmallGap" w:color="auto" w:sz="4" w:space="0"/>
            </w:tcBorders>
            <w:shd w:val="clear" w:color="auto" w:fill="auto"/>
            <w:vAlign w:val="center"/>
          </w:tcPr>
          <w:p w14:paraId="5798C29F">
            <w:pPr>
              <w:spacing w:after="0" w:line="0" w:lineRule="atLeast"/>
              <w:jc w:val="left"/>
              <w:rPr>
                <w:rFonts w:hint="default" w:ascii="Times New Roman" w:hAnsi="Times New Roman" w:cs="Times New Roman"/>
              </w:rPr>
            </w:pPr>
            <w:r>
              <w:rPr>
                <w:rFonts w:hint="default" w:ascii="Times New Roman" w:hAnsi="Times New Roman" w:cs="Times New Roman"/>
              </w:rPr>
              <w:t>Long term consumption of green tea EGCG enhances healthspan and lifespan in mice by mitigating multiple aspects of cellular senescence in mitotic and post-mitotic tissues, gut dysbiosis and immunosenescence</w:t>
            </w:r>
          </w:p>
        </w:tc>
        <w:tc>
          <w:tcPr>
            <w:tcW w:w="13069" w:type="dxa"/>
            <w:tcBorders>
              <w:top w:val="dashSmallGap" w:color="auto" w:sz="4" w:space="0"/>
              <w:bottom w:val="dashSmallGap" w:color="auto" w:sz="4" w:space="0"/>
            </w:tcBorders>
            <w:shd w:val="clear" w:color="auto" w:fill="auto"/>
            <w:vAlign w:val="center"/>
          </w:tcPr>
          <w:p w14:paraId="1A6F3B9C">
            <w:pPr>
              <w:spacing w:after="0" w:line="0" w:lineRule="atLeast"/>
              <w:jc w:val="left"/>
              <w:rPr>
                <w:rFonts w:hint="default" w:ascii="Times New Roman" w:hAnsi="Times New Roman" w:cs="Times New Roman"/>
              </w:rPr>
            </w:pPr>
            <w:r>
              <w:rPr>
                <w:rFonts w:hint="default" w:ascii="Times New Roman" w:hAnsi="Times New Roman" w:cs="Times New Roman"/>
              </w:rPr>
              <w:t>EGCG attenuates cellular senescence and SASP in adipose, intestinal and hepatic tissues, decreases systemic inflammatory markers, and increases expression of CD69, a regulator of the T-cell immune response, through inhibition of AMPK and Akt activation, enhancement of mitochondrial SIRT3 and SIRT5 expression and autophagic response.</w:t>
            </w:r>
          </w:p>
        </w:tc>
      </w:tr>
      <w:tr w14:paraId="7EAC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38ADC799">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Olive Oil</w:t>
            </w:r>
          </w:p>
        </w:tc>
        <w:tc>
          <w:tcPr>
            <w:tcW w:w="6675" w:type="dxa"/>
            <w:tcBorders>
              <w:top w:val="dashSmallGap" w:color="auto" w:sz="4" w:space="0"/>
              <w:bottom w:val="dashSmallGap" w:color="auto" w:sz="4" w:space="0"/>
            </w:tcBorders>
            <w:shd w:val="clear" w:color="auto" w:fill="auto"/>
            <w:vAlign w:val="center"/>
          </w:tcPr>
          <w:p w14:paraId="7DCEF7BE">
            <w:pPr>
              <w:spacing w:after="0" w:line="0" w:lineRule="atLeast"/>
              <w:jc w:val="left"/>
              <w:rPr>
                <w:rFonts w:hint="default" w:ascii="Times New Roman" w:hAnsi="Times New Roman" w:cs="Times New Roman"/>
              </w:rPr>
            </w:pPr>
            <w:r>
              <w:rPr>
                <w:rFonts w:hint="default" w:ascii="Times New Roman" w:hAnsi="Times New Roman" w:cs="Times New Roman"/>
              </w:rPr>
              <w:t>Olive Oil and the Hallmarks of Aging</w:t>
            </w:r>
          </w:p>
        </w:tc>
        <w:tc>
          <w:tcPr>
            <w:tcW w:w="13069" w:type="dxa"/>
            <w:tcBorders>
              <w:top w:val="dashSmallGap" w:color="auto" w:sz="4" w:space="0"/>
              <w:bottom w:val="dashSmallGap" w:color="auto" w:sz="4" w:space="0"/>
            </w:tcBorders>
            <w:shd w:val="clear" w:color="auto" w:fill="auto"/>
            <w:vAlign w:val="center"/>
          </w:tcPr>
          <w:p w14:paraId="080338F3">
            <w:pPr>
              <w:spacing w:after="0" w:line="0" w:lineRule="atLeast"/>
              <w:jc w:val="left"/>
              <w:rPr>
                <w:rFonts w:hint="default" w:ascii="Times New Roman" w:hAnsi="Times New Roman" w:cs="Times New Roman"/>
              </w:rPr>
            </w:pPr>
            <w:r>
              <w:rPr>
                <w:rFonts w:hint="default" w:ascii="Times New Roman" w:hAnsi="Times New Roman" w:cs="Times New Roman"/>
              </w:rPr>
              <w:t>Olive oil protects DNA from oxidative damage through antioxidant and anti-inflammatory mechanisms, attenuates mitochondrial dysfunction, inhibits cellular senescence and promotes the maintenance of stem cell function.</w:t>
            </w:r>
          </w:p>
        </w:tc>
      </w:tr>
      <w:tr w14:paraId="1712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3A872F44">
            <w:pPr>
              <w:spacing w:after="0" w:line="240" w:lineRule="atLeast"/>
              <w:ind w:left="31" w:leftChars="17"/>
              <w:jc w:val="left"/>
              <w:rPr>
                <w:rFonts w:hint="default" w:ascii="Times New Roman" w:hAnsi="Times New Roman" w:cs="Times New Roman"/>
              </w:rPr>
            </w:pPr>
            <w:r>
              <w:rPr>
                <w:rFonts w:hint="default" w:ascii="Times New Roman" w:hAnsi="Times New Roman" w:eastAsia="Segoe UI" w:cs="Times New Roman"/>
                <w:szCs w:val="24"/>
              </w:rPr>
              <w:t>Myricetin</w:t>
            </w:r>
          </w:p>
        </w:tc>
        <w:tc>
          <w:tcPr>
            <w:tcW w:w="6675" w:type="dxa"/>
            <w:tcBorders>
              <w:top w:val="dashSmallGap" w:color="auto" w:sz="4" w:space="0"/>
              <w:bottom w:val="dashSmallGap" w:color="auto" w:sz="4" w:space="0"/>
            </w:tcBorders>
            <w:shd w:val="clear" w:color="auto" w:fill="auto"/>
            <w:vAlign w:val="center"/>
          </w:tcPr>
          <w:p w14:paraId="6F2D2170">
            <w:pPr>
              <w:spacing w:after="0" w:line="0" w:lineRule="atLeast"/>
              <w:jc w:val="left"/>
              <w:rPr>
                <w:rFonts w:hint="default" w:ascii="Times New Roman" w:hAnsi="Times New Roman" w:cs="Times New Roman"/>
              </w:rPr>
            </w:pPr>
            <w:r>
              <w:rPr>
                <w:rFonts w:hint="default" w:ascii="Times New Roman" w:hAnsi="Times New Roman" w:cs="Times New Roman"/>
              </w:rPr>
              <w:t>Myricetin Alleviates Silica-Mediated Lung Fibrosis via PPARγ-PGC-1α Loop and Suppressing Mitochondrial Senescence in Epithelial Cells</w:t>
            </w:r>
          </w:p>
        </w:tc>
        <w:tc>
          <w:tcPr>
            <w:tcW w:w="13069" w:type="dxa"/>
            <w:tcBorders>
              <w:top w:val="dashSmallGap" w:color="auto" w:sz="4" w:space="0"/>
              <w:bottom w:val="dashSmallGap" w:color="auto" w:sz="4" w:space="0"/>
            </w:tcBorders>
            <w:shd w:val="clear" w:color="auto" w:fill="auto"/>
            <w:vAlign w:val="center"/>
          </w:tcPr>
          <w:p w14:paraId="3168A872">
            <w:pPr>
              <w:spacing w:after="0" w:line="0" w:lineRule="atLeast"/>
              <w:jc w:val="left"/>
              <w:rPr>
                <w:rFonts w:hint="default" w:ascii="Times New Roman" w:hAnsi="Times New Roman" w:cs="Times New Roman"/>
              </w:rPr>
            </w:pPr>
            <w:r>
              <w:rPr>
                <w:rFonts w:hint="default" w:ascii="Times New Roman" w:hAnsi="Times New Roman" w:cs="Times New Roman"/>
              </w:rPr>
              <w:t>Populin intervenes in the silica dust-induced cellular senescence pathway by modulating mitochondrial function.</w:t>
            </w:r>
          </w:p>
        </w:tc>
      </w:tr>
      <w:tr w14:paraId="59EB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4A3A719A">
            <w:pPr>
              <w:spacing w:after="0" w:line="240" w:lineRule="atLeast"/>
              <w:ind w:left="31" w:leftChars="17"/>
              <w:jc w:val="left"/>
              <w:rPr>
                <w:rFonts w:hint="default" w:ascii="Times New Roman" w:hAnsi="Times New Roman" w:eastAsia="Segoe UI" w:cs="Times New Roman"/>
                <w:szCs w:val="24"/>
              </w:rPr>
            </w:pPr>
            <w:r>
              <w:rPr>
                <w:rFonts w:hint="default" w:ascii="Times New Roman" w:hAnsi="Times New Roman" w:cs="Times New Roman"/>
              </w:rPr>
              <w:t>Apigenin</w:t>
            </w:r>
          </w:p>
        </w:tc>
        <w:tc>
          <w:tcPr>
            <w:tcW w:w="6675" w:type="dxa"/>
            <w:tcBorders>
              <w:top w:val="dashSmallGap" w:color="auto" w:sz="4" w:space="0"/>
              <w:bottom w:val="dashSmallGap" w:color="auto" w:sz="4" w:space="0"/>
            </w:tcBorders>
            <w:shd w:val="clear" w:color="auto" w:fill="auto"/>
            <w:vAlign w:val="center"/>
          </w:tcPr>
          <w:p w14:paraId="3F24ED26">
            <w:pPr>
              <w:spacing w:after="0" w:line="0" w:lineRule="atLeast"/>
              <w:jc w:val="left"/>
              <w:rPr>
                <w:rFonts w:hint="default" w:ascii="Times New Roman" w:hAnsi="Times New Roman" w:cs="Times New Roman"/>
              </w:rPr>
            </w:pPr>
            <w:r>
              <w:rPr>
                <w:rFonts w:hint="default" w:ascii="Times New Roman" w:hAnsi="Times New Roman" w:cs="Times New Roman"/>
              </w:rPr>
              <w:t>Apigenin Ameliorates H</w:t>
            </w:r>
            <w:r>
              <w:rPr>
                <w:rFonts w:hint="default" w:ascii="Times New Roman" w:hAnsi="Times New Roman" w:cs="Times New Roman"/>
                <w:vertAlign w:val="subscript"/>
              </w:rPr>
              <w:t>2</w:t>
            </w:r>
            <w:r>
              <w:rPr>
                <w:rFonts w:hint="default" w:ascii="Times New Roman" w:hAnsi="Times New Roman" w:cs="Times New Roman"/>
              </w:rPr>
              <w:t>O</w:t>
            </w:r>
            <w:r>
              <w:rPr>
                <w:rFonts w:hint="default" w:ascii="Times New Roman" w:hAnsi="Times New Roman" w:cs="Times New Roman"/>
                <w:vertAlign w:val="subscript"/>
              </w:rPr>
              <w:t>2</w:t>
            </w:r>
            <w:r>
              <w:rPr>
                <w:rFonts w:hint="default" w:ascii="Times New Roman" w:hAnsi="Times New Roman" w:cs="Times New Roman"/>
              </w:rPr>
              <w:t>-Induced Oxidative Damage in Melanocytes through Nuclear Factor-E2-Related Factor 2 (Nrf2) and Phosphatidylinositol 3-Kinase (PI3K)/Protein Kinase B (Akt)/Mammalian Target of Rapamycin (mTOR) Pathways and Reducing the Generation of Reactive Oxygen Species (ROS) in Zebrafish</w:t>
            </w:r>
          </w:p>
        </w:tc>
        <w:tc>
          <w:tcPr>
            <w:tcW w:w="13069" w:type="dxa"/>
            <w:tcBorders>
              <w:top w:val="dashSmallGap" w:color="auto" w:sz="4" w:space="0"/>
              <w:bottom w:val="dashSmallGap" w:color="auto" w:sz="4" w:space="0"/>
            </w:tcBorders>
            <w:shd w:val="clear" w:color="auto" w:fill="auto"/>
            <w:vAlign w:val="center"/>
          </w:tcPr>
          <w:p w14:paraId="06AA9A3C">
            <w:pPr>
              <w:spacing w:after="0" w:line="0" w:lineRule="atLeast"/>
              <w:jc w:val="left"/>
              <w:rPr>
                <w:rFonts w:hint="default" w:ascii="Times New Roman" w:hAnsi="Times New Roman" w:cs="Times New Roman"/>
              </w:rPr>
            </w:pPr>
            <w:r>
              <w:rPr>
                <w:rFonts w:hint="default" w:ascii="Times New Roman" w:hAnsi="Times New Roman" w:cs="Times New Roman"/>
              </w:rPr>
              <w:t>Celery also slows cellular aging by promoting mitochondrial fusion, inhibiting mitochondrial division, maintaining mitochondrial membrane potential, reducing ROS accumulation, and mitigating mitochondrial damage.</w:t>
            </w:r>
          </w:p>
        </w:tc>
      </w:tr>
      <w:tr w14:paraId="57DF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3D3D249F">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Salvianolic acid B</w:t>
            </w:r>
          </w:p>
        </w:tc>
        <w:tc>
          <w:tcPr>
            <w:tcW w:w="6675" w:type="dxa"/>
            <w:tcBorders>
              <w:top w:val="dashSmallGap" w:color="auto" w:sz="4" w:space="0"/>
              <w:bottom w:val="dashSmallGap" w:color="auto" w:sz="4" w:space="0"/>
            </w:tcBorders>
            <w:shd w:val="clear" w:color="auto" w:fill="auto"/>
            <w:vAlign w:val="center"/>
          </w:tcPr>
          <w:p w14:paraId="6DB2CEA3">
            <w:pPr>
              <w:spacing w:after="0" w:line="0" w:lineRule="atLeast"/>
              <w:jc w:val="left"/>
              <w:rPr>
                <w:rFonts w:hint="default" w:ascii="Times New Roman" w:hAnsi="Times New Roman" w:cs="Times New Roman"/>
              </w:rPr>
            </w:pPr>
            <w:r>
              <w:rPr>
                <w:rFonts w:hint="default" w:ascii="Times New Roman" w:hAnsi="Times New Roman" w:cs="Times New Roman"/>
              </w:rPr>
              <w:t>Salvianolic acid B protects against UVB-induced skin aging via activation of NRF2</w:t>
            </w:r>
          </w:p>
        </w:tc>
        <w:tc>
          <w:tcPr>
            <w:tcW w:w="13069" w:type="dxa"/>
            <w:tcBorders>
              <w:top w:val="dashSmallGap" w:color="auto" w:sz="4" w:space="0"/>
              <w:bottom w:val="dashSmallGap" w:color="auto" w:sz="4" w:space="0"/>
            </w:tcBorders>
            <w:shd w:val="clear" w:color="auto" w:fill="auto"/>
            <w:vAlign w:val="center"/>
          </w:tcPr>
          <w:p w14:paraId="7FAE2C1C">
            <w:pPr>
              <w:spacing w:after="0" w:line="0" w:lineRule="atLeast"/>
              <w:jc w:val="left"/>
              <w:rPr>
                <w:rFonts w:hint="default" w:ascii="Times New Roman" w:hAnsi="Times New Roman" w:cs="Times New Roman"/>
              </w:rPr>
            </w:pPr>
            <w:r>
              <w:rPr>
                <w:rFonts w:hint="default" w:ascii="Times New Roman" w:hAnsi="Times New Roman" w:cs="Times New Roman"/>
              </w:rPr>
              <w:t>Sal-B protects mitochondrial function by reducing reactive oxygen species (ROS) production through activation of the NRF2 signalling pathway, thereby reducing oxidative stress and slowing down skin photoaging.</w:t>
            </w:r>
          </w:p>
        </w:tc>
      </w:tr>
      <w:tr w14:paraId="17FD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29B7D6F7">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Puerarin</w:t>
            </w:r>
          </w:p>
        </w:tc>
        <w:tc>
          <w:tcPr>
            <w:tcW w:w="6675" w:type="dxa"/>
            <w:tcBorders>
              <w:top w:val="dashSmallGap" w:color="auto" w:sz="4" w:space="0"/>
              <w:bottom w:val="dashSmallGap" w:color="auto" w:sz="4" w:space="0"/>
            </w:tcBorders>
            <w:shd w:val="clear" w:color="auto" w:fill="auto"/>
            <w:vAlign w:val="center"/>
          </w:tcPr>
          <w:p w14:paraId="0CBE9581">
            <w:pPr>
              <w:spacing w:after="0" w:line="0" w:lineRule="atLeast"/>
              <w:jc w:val="left"/>
              <w:rPr>
                <w:rFonts w:hint="default" w:ascii="Times New Roman" w:hAnsi="Times New Roman" w:cs="Times New Roman"/>
              </w:rPr>
            </w:pPr>
            <w:r>
              <w:rPr>
                <w:rFonts w:hint="default" w:ascii="Times New Roman" w:hAnsi="Times New Roman" w:cs="Times New Roman"/>
              </w:rPr>
              <w:t>Puerarin Delays Mammary Gland Aging by Regulating Gut Microbiota and Inhibiting the p38MAPK Signaling Pathway</w:t>
            </w:r>
          </w:p>
        </w:tc>
        <w:tc>
          <w:tcPr>
            <w:tcW w:w="13069" w:type="dxa"/>
            <w:tcBorders>
              <w:top w:val="dashSmallGap" w:color="auto" w:sz="4" w:space="0"/>
              <w:bottom w:val="dashSmallGap" w:color="auto" w:sz="4" w:space="0"/>
            </w:tcBorders>
            <w:shd w:val="clear" w:color="auto" w:fill="auto"/>
            <w:vAlign w:val="center"/>
          </w:tcPr>
          <w:p w14:paraId="067A2C31">
            <w:pPr>
              <w:spacing w:after="0" w:line="0" w:lineRule="atLeast"/>
              <w:jc w:val="left"/>
              <w:rPr>
                <w:rFonts w:hint="default" w:ascii="Times New Roman" w:hAnsi="Times New Roman" w:cs="Times New Roman"/>
              </w:rPr>
            </w:pPr>
            <w:r>
              <w:rPr>
                <w:rFonts w:hint="default" w:ascii="Times New Roman" w:hAnsi="Times New Roman" w:cs="Times New Roman"/>
              </w:rPr>
              <w:t>Puerarin mainly inhibited the p38MAPK signaling pathway to repair mitochondrial damage and delay mammary gland aging.</w:t>
            </w:r>
          </w:p>
        </w:tc>
      </w:tr>
      <w:tr w14:paraId="0220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05A0F508">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Argininyl-fructosyl-glucose</w:t>
            </w:r>
          </w:p>
        </w:tc>
        <w:tc>
          <w:tcPr>
            <w:tcW w:w="6675" w:type="dxa"/>
            <w:tcBorders>
              <w:top w:val="dashSmallGap" w:color="auto" w:sz="4" w:space="0"/>
              <w:bottom w:val="dashSmallGap" w:color="auto" w:sz="4" w:space="0"/>
            </w:tcBorders>
            <w:shd w:val="clear" w:color="auto" w:fill="auto"/>
            <w:vAlign w:val="center"/>
          </w:tcPr>
          <w:p w14:paraId="0AE4EA02">
            <w:pPr>
              <w:spacing w:after="0" w:line="0" w:lineRule="atLeast"/>
              <w:jc w:val="left"/>
              <w:rPr>
                <w:rFonts w:hint="default" w:ascii="Times New Roman" w:hAnsi="Times New Roman" w:cs="Times New Roman"/>
              </w:rPr>
            </w:pPr>
            <w:r>
              <w:rPr>
                <w:rFonts w:hint="default" w:ascii="Times New Roman" w:hAnsi="Times New Roman" w:cs="Times New Roman"/>
              </w:rPr>
              <w:t>Argininyl-fructosyl-glucose (AFG) antagonizes D-galactose-induced cellular senescence of neuro-2a via inhibiting endoplasmic reticulum stress and apoptosis</w:t>
            </w:r>
          </w:p>
        </w:tc>
        <w:tc>
          <w:tcPr>
            <w:tcW w:w="13069" w:type="dxa"/>
            <w:tcBorders>
              <w:top w:val="dashSmallGap" w:color="auto" w:sz="4" w:space="0"/>
              <w:bottom w:val="dashSmallGap" w:color="auto" w:sz="4" w:space="0"/>
            </w:tcBorders>
            <w:shd w:val="clear" w:color="auto" w:fill="auto"/>
            <w:vAlign w:val="center"/>
          </w:tcPr>
          <w:p w14:paraId="0AF207C0">
            <w:pPr>
              <w:spacing w:after="0" w:line="0" w:lineRule="atLeast"/>
              <w:jc w:val="left"/>
              <w:rPr>
                <w:rFonts w:hint="default" w:ascii="Times New Roman" w:hAnsi="Times New Roman" w:cs="Times New Roman"/>
              </w:rPr>
            </w:pPr>
            <w:r>
              <w:rPr>
                <w:rFonts w:hint="default" w:ascii="Times New Roman" w:hAnsi="Times New Roman" w:cs="Times New Roman"/>
              </w:rPr>
              <w:t>AFG (8 μM) significantly reduced D-galactose-induced overexpression of senescence-associated proteins (p53/p21/p16) and inhibited reactive oxygen species (ROS) accumulation, as well as inhibited the expression of apoptosis-associated proteins (e.g., Bax, caspase 3, etc.), and increased mitochondrial membrane potential.</w:t>
            </w:r>
          </w:p>
        </w:tc>
      </w:tr>
      <w:tr w14:paraId="5D5F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229F479D">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Dark tea extract</w:t>
            </w:r>
          </w:p>
        </w:tc>
        <w:tc>
          <w:tcPr>
            <w:tcW w:w="6675" w:type="dxa"/>
            <w:tcBorders>
              <w:top w:val="dashSmallGap" w:color="auto" w:sz="4" w:space="0"/>
              <w:bottom w:val="dashSmallGap" w:color="auto" w:sz="4" w:space="0"/>
            </w:tcBorders>
            <w:shd w:val="clear" w:color="auto" w:fill="auto"/>
            <w:vAlign w:val="center"/>
          </w:tcPr>
          <w:p w14:paraId="538B159F">
            <w:pPr>
              <w:spacing w:after="0" w:line="0" w:lineRule="atLeast"/>
              <w:jc w:val="left"/>
              <w:rPr>
                <w:rFonts w:hint="default" w:ascii="Times New Roman" w:hAnsi="Times New Roman" w:cs="Times New Roman"/>
              </w:rPr>
            </w:pPr>
            <w:r>
              <w:rPr>
                <w:rFonts w:hint="default" w:ascii="Times New Roman" w:hAnsi="Times New Roman" w:cs="Times New Roman"/>
              </w:rPr>
              <w:t>Dark tea extract attenuates age-related muscle loss by suppressing oxidative stress and inflammation in skeletal muscle of mice</w:t>
            </w:r>
          </w:p>
        </w:tc>
        <w:tc>
          <w:tcPr>
            <w:tcW w:w="13069" w:type="dxa"/>
            <w:tcBorders>
              <w:top w:val="dashSmallGap" w:color="auto" w:sz="4" w:space="0"/>
              <w:bottom w:val="dashSmallGap" w:color="auto" w:sz="4" w:space="0"/>
            </w:tcBorders>
            <w:shd w:val="clear" w:color="auto" w:fill="auto"/>
            <w:vAlign w:val="center"/>
          </w:tcPr>
          <w:p w14:paraId="19C95F76">
            <w:pPr>
              <w:spacing w:after="0" w:line="0" w:lineRule="atLeast"/>
              <w:jc w:val="left"/>
              <w:rPr>
                <w:rFonts w:hint="default" w:ascii="Times New Roman" w:hAnsi="Times New Roman" w:cs="Times New Roman"/>
              </w:rPr>
            </w:pPr>
            <w:r>
              <w:rPr>
                <w:rFonts w:hint="default" w:ascii="Times New Roman" w:hAnsi="Times New Roman" w:cs="Times New Roman"/>
              </w:rPr>
              <w:t>Black tea extract effectively alleviated muscle atrophy in aged mice by reducing oxidative stress, improving mitochondrial function and inhibiting inflammation, with potential anti-aging and muscle function improvement effects.</w:t>
            </w:r>
          </w:p>
        </w:tc>
      </w:tr>
      <w:tr w14:paraId="3AFF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dashSmallGap" w:color="auto" w:sz="4" w:space="0"/>
            </w:tcBorders>
            <w:shd w:val="clear" w:color="auto" w:fill="auto"/>
            <w:vAlign w:val="center"/>
          </w:tcPr>
          <w:p w14:paraId="46B40730">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Pterostilbene</w:t>
            </w:r>
          </w:p>
        </w:tc>
        <w:tc>
          <w:tcPr>
            <w:tcW w:w="6675" w:type="dxa"/>
            <w:tcBorders>
              <w:top w:val="dashSmallGap" w:color="auto" w:sz="4" w:space="0"/>
              <w:bottom w:val="dashSmallGap" w:color="auto" w:sz="4" w:space="0"/>
            </w:tcBorders>
            <w:shd w:val="clear" w:color="auto" w:fill="auto"/>
            <w:vAlign w:val="center"/>
          </w:tcPr>
          <w:p w14:paraId="0384923C">
            <w:pPr>
              <w:spacing w:after="0" w:line="0" w:lineRule="atLeast"/>
              <w:jc w:val="left"/>
              <w:rPr>
                <w:rFonts w:hint="default" w:ascii="Times New Roman" w:hAnsi="Times New Roman" w:cs="Times New Roman"/>
              </w:rPr>
            </w:pPr>
            <w:r>
              <w:rPr>
                <w:rFonts w:hint="default" w:ascii="Times New Roman" w:hAnsi="Times New Roman" w:cs="Times New Roman"/>
              </w:rPr>
              <w:t>Unlocking the Therapeutic Potential of Natural Stilbene: Exploring Pterostilbene as a Powerful Ally Against Aging and Cognitive Decline</w:t>
            </w:r>
          </w:p>
        </w:tc>
        <w:tc>
          <w:tcPr>
            <w:tcW w:w="13069" w:type="dxa"/>
            <w:tcBorders>
              <w:top w:val="dashSmallGap" w:color="auto" w:sz="4" w:space="0"/>
              <w:bottom w:val="dashSmallGap" w:color="auto" w:sz="4" w:space="0"/>
            </w:tcBorders>
            <w:shd w:val="clear" w:color="auto" w:fill="auto"/>
            <w:vAlign w:val="center"/>
          </w:tcPr>
          <w:p w14:paraId="0FEABA74">
            <w:pPr>
              <w:spacing w:after="0" w:line="0" w:lineRule="atLeast"/>
              <w:jc w:val="left"/>
              <w:rPr>
                <w:rFonts w:hint="default" w:ascii="Times New Roman" w:hAnsi="Times New Roman" w:cs="Times New Roman"/>
              </w:rPr>
            </w:pPr>
            <w:r>
              <w:rPr>
                <w:rFonts w:hint="default" w:ascii="Times New Roman" w:hAnsi="Times New Roman" w:cs="Times New Roman"/>
              </w:rPr>
              <w:t xml:space="preserve">Pterostilbene (PTE) is a naturally occurring polyphenolic compound found mainly in grapes and blueberries with significant anti-aging and neuroprotective potential. It improves mitochondrial function, enhances synaptic plasticity and inhibits β-amyloid accumulation through activation of SIRT1, MAPK and NRF2 signalling pathways.                                                                                                                                                  </w:t>
            </w:r>
          </w:p>
        </w:tc>
      </w:tr>
      <w:tr w14:paraId="6E64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2300" w:type="dxa"/>
            <w:tcBorders>
              <w:top w:val="dashSmallGap" w:color="auto" w:sz="4" w:space="0"/>
              <w:bottom w:val="dashSmallGap" w:color="auto" w:sz="4" w:space="0"/>
            </w:tcBorders>
            <w:shd w:val="clear" w:color="auto" w:fill="auto"/>
            <w:vAlign w:val="center"/>
          </w:tcPr>
          <w:p w14:paraId="7B97B809">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Lycium ruthenicum</w:t>
            </w:r>
          </w:p>
        </w:tc>
        <w:tc>
          <w:tcPr>
            <w:tcW w:w="6675" w:type="dxa"/>
            <w:tcBorders>
              <w:top w:val="dashSmallGap" w:color="auto" w:sz="4" w:space="0"/>
              <w:bottom w:val="dashSmallGap" w:color="auto" w:sz="4" w:space="0"/>
            </w:tcBorders>
            <w:shd w:val="clear" w:color="auto" w:fill="auto"/>
            <w:vAlign w:val="center"/>
          </w:tcPr>
          <w:p w14:paraId="067C21BE">
            <w:pPr>
              <w:spacing w:after="0" w:line="0" w:lineRule="atLeast"/>
              <w:jc w:val="left"/>
              <w:rPr>
                <w:rFonts w:hint="default" w:ascii="Times New Roman" w:hAnsi="Times New Roman" w:cs="Times New Roman"/>
              </w:rPr>
            </w:pPr>
            <w:r>
              <w:rPr>
                <w:rFonts w:hint="default" w:ascii="Times New Roman" w:hAnsi="Times New Roman" w:cs="Times New Roman"/>
              </w:rPr>
              <w:t>The Ethanolic Extract of Lycium ruthenicum Ameliorates Age-Related Physiological Damage in Mice</w:t>
            </w:r>
          </w:p>
        </w:tc>
        <w:tc>
          <w:tcPr>
            <w:tcW w:w="13069" w:type="dxa"/>
            <w:tcBorders>
              <w:top w:val="dashSmallGap" w:color="auto" w:sz="4" w:space="0"/>
              <w:bottom w:val="dashSmallGap" w:color="auto" w:sz="4" w:space="0"/>
            </w:tcBorders>
            <w:shd w:val="clear" w:color="auto" w:fill="auto"/>
            <w:vAlign w:val="center"/>
          </w:tcPr>
          <w:p w14:paraId="63271BDC">
            <w:pPr>
              <w:spacing w:after="0" w:line="0" w:lineRule="atLeast"/>
              <w:jc w:val="left"/>
              <w:rPr>
                <w:rFonts w:hint="default" w:ascii="Times New Roman" w:hAnsi="Times New Roman" w:cs="Times New Roman"/>
              </w:rPr>
            </w:pPr>
            <w:r>
              <w:rPr>
                <w:rFonts w:hint="default" w:ascii="Times New Roman" w:hAnsi="Times New Roman" w:cs="Times New Roman"/>
              </w:rPr>
              <w:t>LRM reduced paraquat (PQ)-induced intracellular reactive oxygen species (ROS) accumulation in A2780 cells, maintained mitochondrial membrane potential, and inhibited the expression of cellular senescence marker β-galactosidase, thereby slowing down the process of cellular senescence.</w:t>
            </w:r>
          </w:p>
        </w:tc>
      </w:tr>
      <w:tr w14:paraId="15AA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300" w:type="dxa"/>
            <w:tcBorders>
              <w:top w:val="dashSmallGap" w:color="auto" w:sz="4" w:space="0"/>
              <w:bottom w:val="dashSmallGap" w:color="auto" w:sz="4" w:space="0"/>
            </w:tcBorders>
            <w:shd w:val="clear" w:color="auto" w:fill="auto"/>
            <w:vAlign w:val="center"/>
          </w:tcPr>
          <w:p w14:paraId="29A85A46">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Ginseng</w:t>
            </w:r>
          </w:p>
        </w:tc>
        <w:tc>
          <w:tcPr>
            <w:tcW w:w="6675" w:type="dxa"/>
            <w:tcBorders>
              <w:top w:val="dashSmallGap" w:color="auto" w:sz="4" w:space="0"/>
              <w:bottom w:val="dashSmallGap" w:color="auto" w:sz="4" w:space="0"/>
            </w:tcBorders>
            <w:shd w:val="clear" w:color="auto" w:fill="auto"/>
            <w:vAlign w:val="center"/>
          </w:tcPr>
          <w:p w14:paraId="3A9C0646">
            <w:pPr>
              <w:spacing w:after="0" w:line="0" w:lineRule="atLeast"/>
              <w:jc w:val="left"/>
              <w:rPr>
                <w:rFonts w:hint="default" w:ascii="Times New Roman" w:hAnsi="Times New Roman" w:cs="Times New Roman"/>
              </w:rPr>
            </w:pPr>
            <w:r>
              <w:rPr>
                <w:rFonts w:hint="default" w:ascii="Times New Roman" w:hAnsi="Times New Roman" w:cs="Times New Roman"/>
              </w:rPr>
              <w:t>Bioactive Oligopeptides from Ginseng (Panax ginseng Meyer) Suppress Oxidative Stress-Induced Senescence in Fibroblasts via NAD+ /SIRT1/PGC-1α Signaling Pathway</w:t>
            </w:r>
          </w:p>
        </w:tc>
        <w:tc>
          <w:tcPr>
            <w:tcW w:w="13069" w:type="dxa"/>
            <w:tcBorders>
              <w:top w:val="dashSmallGap" w:color="auto" w:sz="4" w:space="0"/>
              <w:bottom w:val="dashSmallGap" w:color="auto" w:sz="4" w:space="0"/>
            </w:tcBorders>
            <w:shd w:val="clear" w:color="auto" w:fill="auto"/>
            <w:vAlign w:val="center"/>
          </w:tcPr>
          <w:p w14:paraId="0EA972EA">
            <w:pPr>
              <w:spacing w:after="0" w:line="0" w:lineRule="atLeast"/>
              <w:jc w:val="left"/>
              <w:rPr>
                <w:rFonts w:hint="default" w:ascii="Times New Roman" w:hAnsi="Times New Roman" w:cs="Times New Roman"/>
              </w:rPr>
            </w:pPr>
            <w:r>
              <w:rPr>
                <w:rFonts w:hint="default" w:ascii="Times New Roman" w:hAnsi="Times New Roman" w:cs="Times New Roman"/>
              </w:rPr>
              <w:t>Ginseng oligopeptides (GOPs) improve mitochondrial membrane potential and biosynthesis through activation of the NAD⁺/SIRT1/PGC-1α signalling pathway and delay cellular senescence.</w:t>
            </w:r>
          </w:p>
        </w:tc>
      </w:tr>
      <w:tr w14:paraId="3E32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0" w:type="dxa"/>
            <w:tcBorders>
              <w:top w:val="dashSmallGap" w:color="auto" w:sz="4" w:space="0"/>
              <w:bottom w:val="single" w:color="000000" w:sz="12" w:space="0"/>
            </w:tcBorders>
            <w:shd w:val="clear" w:color="auto" w:fill="auto"/>
            <w:vAlign w:val="center"/>
          </w:tcPr>
          <w:p w14:paraId="3E69C9D6">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Hesperidin</w:t>
            </w:r>
          </w:p>
        </w:tc>
        <w:tc>
          <w:tcPr>
            <w:tcW w:w="6675" w:type="dxa"/>
            <w:tcBorders>
              <w:top w:val="dashSmallGap" w:color="auto" w:sz="4" w:space="0"/>
              <w:bottom w:val="single" w:color="000000" w:sz="12" w:space="0"/>
            </w:tcBorders>
            <w:shd w:val="clear" w:color="auto" w:fill="auto"/>
            <w:vAlign w:val="center"/>
          </w:tcPr>
          <w:p w14:paraId="7B70FC44">
            <w:pPr>
              <w:spacing w:after="0" w:line="0" w:lineRule="atLeast"/>
              <w:jc w:val="left"/>
              <w:rPr>
                <w:rFonts w:hint="default" w:ascii="Times New Roman" w:hAnsi="Times New Roman" w:cs="Times New Roman"/>
              </w:rPr>
            </w:pPr>
            <w:r>
              <w:rPr>
                <w:rFonts w:hint="default" w:ascii="Times New Roman" w:hAnsi="Times New Roman" w:cs="Times New Roman"/>
              </w:rPr>
              <w:t>Hesperidin Exhibits Protective Effects against PM2.5-Mediated Mitochondrial Damage, Cell Cycle Arrest, and Cellular Senescence in Human HaCaT Keratinocytes</w:t>
            </w:r>
          </w:p>
        </w:tc>
        <w:tc>
          <w:tcPr>
            <w:tcW w:w="13069" w:type="dxa"/>
            <w:tcBorders>
              <w:top w:val="dashSmallGap" w:color="auto" w:sz="4" w:space="0"/>
              <w:bottom w:val="single" w:color="000000" w:sz="12" w:space="0"/>
            </w:tcBorders>
            <w:shd w:val="clear" w:color="auto" w:fill="auto"/>
            <w:vAlign w:val="center"/>
          </w:tcPr>
          <w:p w14:paraId="388AC1A0">
            <w:pPr>
              <w:spacing w:after="0" w:line="0" w:lineRule="atLeast"/>
              <w:jc w:val="left"/>
              <w:rPr>
                <w:rFonts w:hint="default" w:ascii="Times New Roman" w:hAnsi="Times New Roman" w:cs="Times New Roman"/>
              </w:rPr>
            </w:pPr>
            <w:r>
              <w:rPr>
                <w:rFonts w:hint="default" w:ascii="Times New Roman" w:hAnsi="Times New Roman" w:cs="Times New Roman"/>
              </w:rPr>
              <w:t>Hesperidin (50 μM) pretreatment significantly reduced mitochondrial ROS generation, restored mitochondrial membrane potential, and reversed the imbalance of cell cycle regulatory proteins. Mechanistic studies confirmed that the JNK inhibitor SP600125 and hesperidin synergistically blocked PM2.5-induced cell cycle arrest and senescence.</w:t>
            </w:r>
          </w:p>
        </w:tc>
      </w:tr>
      <w:bookmarkEnd w:id="0"/>
      <w:bookmarkEnd w:id="1"/>
    </w:tbl>
    <w:p w14:paraId="44ABF5E2">
      <w:pPr>
        <w:ind w:right="-1170" w:rightChars="-650"/>
      </w:pPr>
    </w:p>
    <w:p w14:paraId="1404BCB1">
      <w:pPr>
        <w:ind w:right="-1170" w:rightChars="-650"/>
      </w:pPr>
    </w:p>
    <w:p w14:paraId="14C780C2">
      <w:pPr>
        <w:ind w:right="-1170" w:rightChars="-650"/>
      </w:pPr>
    </w:p>
    <w:p w14:paraId="44A35DA1">
      <w:pPr>
        <w:ind w:right="-1170" w:rightChars="-650"/>
      </w:pPr>
    </w:p>
    <w:p w14:paraId="4A4BCA72">
      <w:pPr>
        <w:ind w:left="-540" w:leftChars="-300" w:right="-1170" w:rightChars="-650" w:firstLine="0" w:firstLineChars="0"/>
        <w:rPr>
          <w:rFonts w:ascii="Times New Roman" w:hAnsi="Times New Roman" w:cs="Times New Roman"/>
          <w:b/>
          <w:bCs/>
          <w:sz w:val="28"/>
          <w:szCs w:val="28"/>
        </w:rPr>
      </w:pPr>
      <w:r>
        <w:rPr>
          <w:rFonts w:hint="eastAsia" w:ascii="Times New Roman" w:hAnsi="Times New Roman" w:cs="Times New Roman"/>
          <w:b/>
          <w:bCs/>
          <w:sz w:val="28"/>
          <w:szCs w:val="28"/>
        </w:rPr>
        <w:t>C</w:t>
      </w:r>
      <w:r>
        <w:rPr>
          <w:rFonts w:ascii="Times New Roman" w:hAnsi="Times New Roman" w:cs="Times New Roman"/>
          <w:b/>
          <w:bCs/>
          <w:sz w:val="28"/>
          <w:szCs w:val="28"/>
        </w:rPr>
        <w:t>ontinuation of the above table</w:t>
      </w:r>
      <w:r>
        <w:rPr>
          <w:rFonts w:hint="eastAsia" w:ascii="Times New Roman" w:hAnsi="Times New Roman" w:cs="Times New Roman"/>
          <w:b/>
          <w:bCs/>
          <w:sz w:val="28"/>
          <w:szCs w:val="28"/>
        </w:rPr>
        <w:t xml:space="preserve">. </w:t>
      </w:r>
    </w:p>
    <w:tbl>
      <w:tblPr>
        <w:tblStyle w:val="10"/>
        <w:tblW w:w="22083" w:type="dxa"/>
        <w:jc w:val="center"/>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3"/>
        <w:gridCol w:w="5900"/>
        <w:gridCol w:w="14100"/>
      </w:tblGrid>
      <w:tr w14:paraId="2DF57E55">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2083" w:type="dxa"/>
            <w:tcBorders>
              <w:bottom w:val="single" w:color="000000" w:sz="12" w:space="0"/>
              <w:tl2br w:val="nil"/>
              <w:tr2bl w:val="nil"/>
            </w:tcBorders>
            <w:shd w:val="clear" w:color="auto" w:fill="auto"/>
            <w:vAlign w:val="center"/>
          </w:tcPr>
          <w:p w14:paraId="58A252E6">
            <w:pPr>
              <w:spacing w:after="0" w:line="240" w:lineRule="atLeast"/>
              <w:ind w:left="31" w:leftChars="17"/>
              <w:jc w:val="center"/>
              <w:rPr>
                <w:rFonts w:ascii="Times New Roman" w:hAnsi="Times New Roman" w:eastAsia="宋体" w:cs="Times New Roman"/>
                <w:b/>
                <w:bCs/>
                <w:color w:val="0E101A"/>
                <w:kern w:val="2"/>
                <w:sz w:val="22"/>
                <w:szCs w:val="22"/>
              </w:rPr>
            </w:pPr>
            <w:r>
              <w:rPr>
                <w:rFonts w:ascii="Times New Roman" w:hAnsi="Times New Roman" w:eastAsia="宋体" w:cs="Times New Roman"/>
                <w:b/>
                <w:bCs/>
                <w:color w:val="0E101A"/>
                <w:kern w:val="2"/>
                <w:sz w:val="24"/>
                <w:szCs w:val="24"/>
              </w:rPr>
              <w:t>Supplementation</w:t>
            </w:r>
          </w:p>
        </w:tc>
        <w:tc>
          <w:tcPr>
            <w:tcW w:w="5900" w:type="dxa"/>
            <w:tcBorders>
              <w:bottom w:val="single" w:color="000000" w:sz="12" w:space="0"/>
              <w:tl2br w:val="nil"/>
              <w:tr2bl w:val="nil"/>
            </w:tcBorders>
            <w:shd w:val="clear" w:color="auto" w:fill="auto"/>
            <w:vAlign w:val="center"/>
          </w:tcPr>
          <w:p w14:paraId="66533970">
            <w:pPr>
              <w:spacing w:after="0" w:line="0" w:lineRule="atLeast"/>
              <w:jc w:val="center"/>
              <w:rPr>
                <w:rFonts w:ascii="Times New Roman" w:hAnsi="Times New Roman" w:cs="Times New Roman"/>
                <w:sz w:val="22"/>
                <w:szCs w:val="22"/>
              </w:rPr>
            </w:pPr>
          </w:p>
        </w:tc>
        <w:tc>
          <w:tcPr>
            <w:tcW w:w="14100" w:type="dxa"/>
            <w:tcBorders>
              <w:bottom w:val="single" w:color="000000" w:sz="12" w:space="0"/>
              <w:tl2br w:val="nil"/>
              <w:tr2bl w:val="nil"/>
            </w:tcBorders>
            <w:shd w:val="clear" w:color="auto" w:fill="auto"/>
            <w:vAlign w:val="center"/>
          </w:tcPr>
          <w:p w14:paraId="21CF6F81">
            <w:pPr>
              <w:spacing w:after="0" w:line="0" w:lineRule="atLeast"/>
              <w:jc w:val="center"/>
              <w:rPr>
                <w:rFonts w:ascii="Times New Roman" w:hAnsi="Times New Roman" w:cs="Times New Roman"/>
                <w:sz w:val="22"/>
                <w:szCs w:val="22"/>
              </w:rPr>
            </w:pPr>
          </w:p>
        </w:tc>
      </w:tr>
      <w:tr w14:paraId="332CC30C">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083" w:type="dxa"/>
            <w:tcBorders>
              <w:top w:val="single" w:color="000000" w:sz="12" w:space="0"/>
              <w:bottom w:val="dashed" w:color="000000" w:sz="4" w:space="0"/>
            </w:tcBorders>
            <w:shd w:val="clear" w:color="auto" w:fill="auto"/>
            <w:vAlign w:val="center"/>
          </w:tcPr>
          <w:p w14:paraId="3DFC4DE2">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Yeast cell bio-supplement</w:t>
            </w:r>
          </w:p>
        </w:tc>
        <w:tc>
          <w:tcPr>
            <w:tcW w:w="5900" w:type="dxa"/>
            <w:tcBorders>
              <w:top w:val="single" w:color="000000" w:sz="12" w:space="0"/>
              <w:bottom w:val="dashed" w:color="000000" w:sz="4" w:space="0"/>
            </w:tcBorders>
            <w:shd w:val="clear" w:color="auto" w:fill="auto"/>
            <w:vAlign w:val="center"/>
          </w:tcPr>
          <w:p w14:paraId="1344AA20">
            <w:pPr>
              <w:spacing w:after="0" w:line="0" w:lineRule="atLeast"/>
              <w:jc w:val="left"/>
              <w:rPr>
                <w:rFonts w:hint="default" w:ascii="Times New Roman" w:hAnsi="Times New Roman" w:cs="Times New Roman"/>
              </w:rPr>
            </w:pPr>
            <w:r>
              <w:rPr>
                <w:rFonts w:hint="default" w:ascii="Times New Roman" w:hAnsi="Times New Roman" w:cs="Times New Roman"/>
              </w:rPr>
              <w:t>The Clinical Evidence of Cellular Respiration to target Cancer</w:t>
            </w:r>
          </w:p>
        </w:tc>
        <w:tc>
          <w:tcPr>
            <w:tcW w:w="14100" w:type="dxa"/>
            <w:tcBorders>
              <w:top w:val="single" w:color="000000" w:sz="12" w:space="0"/>
              <w:bottom w:val="dashed" w:color="000000" w:sz="4" w:space="0"/>
            </w:tcBorders>
            <w:shd w:val="clear" w:color="auto" w:fill="auto"/>
            <w:vAlign w:val="center"/>
          </w:tcPr>
          <w:p w14:paraId="4C3F4AFE">
            <w:pPr>
              <w:spacing w:after="0" w:line="0" w:lineRule="atLeast"/>
              <w:jc w:val="left"/>
              <w:rPr>
                <w:rFonts w:hint="default" w:ascii="Times New Roman" w:hAnsi="Times New Roman" w:cs="Times New Roman"/>
              </w:rPr>
            </w:pPr>
            <w:r>
              <w:rPr>
                <w:rFonts w:hint="default" w:ascii="Times New Roman" w:hAnsi="Times New Roman" w:cs="Times New Roman"/>
              </w:rPr>
              <w:t>The important enzymes in yeast cells are the same as in humans. The bio-supplement includes a large number of mitochondria-targeted nutrients, including amino acids and bioactive substances such as various coenzymes, NAD</w:t>
            </w:r>
            <w:r>
              <w:rPr>
                <w:rFonts w:hint="default" w:ascii="Times New Roman" w:hAnsi="Times New Roman" w:cs="Times New Roman"/>
                <w:vertAlign w:val="superscript"/>
              </w:rPr>
              <w:t>+</w:t>
            </w:r>
            <w:r>
              <w:rPr>
                <w:rFonts w:hint="default" w:ascii="Times New Roman" w:hAnsi="Times New Roman" w:cs="Times New Roman"/>
              </w:rPr>
              <w:t xml:space="preserve"> precursors, vitamins, and trace elements.</w:t>
            </w:r>
          </w:p>
        </w:tc>
      </w:tr>
      <w:tr w14:paraId="1620D1BA">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574375DB">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Biliverdin Reductase a</w:t>
            </w:r>
          </w:p>
        </w:tc>
        <w:tc>
          <w:tcPr>
            <w:tcW w:w="5900" w:type="dxa"/>
            <w:tcBorders>
              <w:top w:val="dashed" w:color="000000" w:sz="4" w:space="0"/>
              <w:bottom w:val="dashed" w:color="000000" w:sz="4" w:space="0"/>
            </w:tcBorders>
            <w:shd w:val="clear" w:color="auto" w:fill="auto"/>
            <w:vAlign w:val="center"/>
          </w:tcPr>
          <w:p w14:paraId="520D2BDF">
            <w:pPr>
              <w:spacing w:after="0" w:line="0" w:lineRule="atLeast"/>
              <w:jc w:val="left"/>
              <w:rPr>
                <w:rFonts w:hint="default" w:ascii="Times New Roman" w:hAnsi="Times New Roman" w:cs="Times New Roman"/>
              </w:rPr>
            </w:pPr>
            <w:r>
              <w:rPr>
                <w:rFonts w:hint="default" w:ascii="Times New Roman" w:hAnsi="Times New Roman" w:cs="Times New Roman"/>
              </w:rPr>
              <w:t>Biliverdin Reductase a Protects Lens Epithelial Cells against Oxidative Damage and Cellular Senescence in Age-Related Cataract</w:t>
            </w:r>
          </w:p>
        </w:tc>
        <w:tc>
          <w:tcPr>
            <w:tcW w:w="14100" w:type="dxa"/>
            <w:tcBorders>
              <w:top w:val="dashed" w:color="000000" w:sz="4" w:space="0"/>
              <w:bottom w:val="dashed" w:color="000000" w:sz="4" w:space="0"/>
            </w:tcBorders>
            <w:shd w:val="clear" w:color="auto" w:fill="auto"/>
            <w:vAlign w:val="center"/>
          </w:tcPr>
          <w:p w14:paraId="5E58F7A1">
            <w:pPr>
              <w:spacing w:after="0" w:line="0" w:lineRule="atLeast"/>
              <w:jc w:val="left"/>
              <w:rPr>
                <w:rFonts w:hint="default" w:ascii="Times New Roman" w:hAnsi="Times New Roman" w:cs="Times New Roman"/>
              </w:rPr>
            </w:pPr>
            <w:r>
              <w:rPr>
                <w:rFonts w:hint="default" w:ascii="Times New Roman" w:hAnsi="Times New Roman" w:cs="Times New Roman"/>
              </w:rPr>
              <w:t>In summary, BVRA protects LECs against oxidative stress and cellular senescence in ARC by converting BV into BR, inducing HO-1 expression, and activating the ERK/Nrf2 pathway.</w:t>
            </w:r>
          </w:p>
        </w:tc>
      </w:tr>
      <w:tr w14:paraId="5E9BFD2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041A982D">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Glycine and N-acetylcysteine</w:t>
            </w:r>
          </w:p>
        </w:tc>
        <w:tc>
          <w:tcPr>
            <w:tcW w:w="5900" w:type="dxa"/>
            <w:tcBorders>
              <w:top w:val="dashed" w:color="000000" w:sz="4" w:space="0"/>
              <w:bottom w:val="dashed" w:color="000000" w:sz="4" w:space="0"/>
            </w:tcBorders>
            <w:shd w:val="clear" w:color="auto" w:fill="auto"/>
            <w:vAlign w:val="center"/>
          </w:tcPr>
          <w:p w14:paraId="0B4CB464">
            <w:pPr>
              <w:spacing w:after="0" w:line="0" w:lineRule="atLeast"/>
              <w:jc w:val="left"/>
              <w:rPr>
                <w:rFonts w:hint="default" w:ascii="Times New Roman" w:hAnsi="Times New Roman" w:cs="Times New Roman"/>
              </w:rPr>
            </w:pPr>
            <w:r>
              <w:rPr>
                <w:rFonts w:hint="default" w:ascii="Times New Roman" w:hAnsi="Times New Roman" w:cs="Times New Roman"/>
              </w:rPr>
              <w:t>Glycine and N-acetylcysteine (GlyNAC) supplementation in older adults improves glutathione deficiency, oxidative stress, mitochondrial dysfunction, inflammation, insulin resistance, endothelial dysfunction, genotoxicity, muscle strength, and cognition: Results of a pilot clinical trial</w:t>
            </w:r>
          </w:p>
        </w:tc>
        <w:tc>
          <w:tcPr>
            <w:tcW w:w="14100" w:type="dxa"/>
            <w:tcBorders>
              <w:top w:val="dashed" w:color="000000" w:sz="4" w:space="0"/>
              <w:bottom w:val="dashed" w:color="000000" w:sz="4" w:space="0"/>
            </w:tcBorders>
            <w:shd w:val="clear" w:color="auto" w:fill="auto"/>
            <w:vAlign w:val="center"/>
          </w:tcPr>
          <w:p w14:paraId="18B12318">
            <w:pPr>
              <w:spacing w:after="0" w:line="0" w:lineRule="atLeast"/>
              <w:jc w:val="left"/>
              <w:rPr>
                <w:rFonts w:hint="default" w:ascii="Times New Roman" w:hAnsi="Times New Roman" w:cs="Times New Roman"/>
              </w:rPr>
            </w:pPr>
            <w:r>
              <w:rPr>
                <w:rFonts w:hint="default" w:ascii="Times New Roman" w:hAnsi="Times New Roman" w:cs="Times New Roman"/>
              </w:rPr>
              <w:t>After simultaneous supplementation of glycine and NAC (the two in combination are referred to as: GlyNAC), glutathione deficiency, oxidative stress, mitochondrial dysfunction, inflammatory markers, insulin resistance, endothelial dysfunction, genetic damage, muscle strength, and cognition were substantially improved in the aging population.</w:t>
            </w:r>
          </w:p>
        </w:tc>
      </w:tr>
      <w:tr w14:paraId="3957E3A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214A9150">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Dehydroepiandrosterone</w:t>
            </w:r>
          </w:p>
        </w:tc>
        <w:tc>
          <w:tcPr>
            <w:tcW w:w="5900" w:type="dxa"/>
            <w:tcBorders>
              <w:top w:val="dashed" w:color="000000" w:sz="4" w:space="0"/>
              <w:bottom w:val="dashed" w:color="000000" w:sz="4" w:space="0"/>
            </w:tcBorders>
            <w:shd w:val="clear" w:color="auto" w:fill="auto"/>
            <w:vAlign w:val="center"/>
          </w:tcPr>
          <w:p w14:paraId="44B577FD">
            <w:pPr>
              <w:spacing w:after="0" w:line="0" w:lineRule="atLeast"/>
              <w:jc w:val="left"/>
              <w:rPr>
                <w:rFonts w:hint="default" w:ascii="Times New Roman" w:hAnsi="Times New Roman" w:cs="Times New Roman"/>
              </w:rPr>
            </w:pPr>
            <w:r>
              <w:rPr>
                <w:rFonts w:hint="default" w:ascii="Times New Roman" w:hAnsi="Times New Roman" w:cs="Times New Roman"/>
              </w:rPr>
              <w:t>Dehydroepiandrosterone Shifts Energy Metabolism to Increase Mitochondrial Biogenesis in Female Fertility with Advancing Age</w:t>
            </w:r>
          </w:p>
        </w:tc>
        <w:tc>
          <w:tcPr>
            <w:tcW w:w="14100" w:type="dxa"/>
            <w:tcBorders>
              <w:top w:val="dashed" w:color="000000" w:sz="4" w:space="0"/>
              <w:bottom w:val="dashed" w:color="000000" w:sz="4" w:space="0"/>
            </w:tcBorders>
            <w:shd w:val="clear" w:color="auto" w:fill="auto"/>
            <w:vAlign w:val="center"/>
          </w:tcPr>
          <w:p w14:paraId="00C8FB28">
            <w:pPr>
              <w:spacing w:after="0" w:line="0" w:lineRule="atLeast"/>
              <w:jc w:val="left"/>
              <w:rPr>
                <w:rFonts w:hint="default" w:ascii="Times New Roman" w:hAnsi="Times New Roman" w:cs="Times New Roman"/>
              </w:rPr>
            </w:pPr>
            <w:r>
              <w:rPr>
                <w:rFonts w:hint="default" w:ascii="Times New Roman" w:hAnsi="Times New Roman" w:cs="Times New Roman"/>
              </w:rPr>
              <w:t>The benefit of DHEA supplementation on IVF outcomes in aging cells is significant and that this effect may be mediated in part through the reprogramming of metabolic pathways and conversion of anaerobic to aerobic respiration.</w:t>
            </w:r>
          </w:p>
        </w:tc>
      </w:tr>
      <w:tr w14:paraId="6DF06A63">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7BC476DF">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Taurine</w:t>
            </w:r>
          </w:p>
        </w:tc>
        <w:tc>
          <w:tcPr>
            <w:tcW w:w="5900" w:type="dxa"/>
            <w:tcBorders>
              <w:top w:val="dashed" w:color="000000" w:sz="4" w:space="0"/>
              <w:bottom w:val="dashed" w:color="000000" w:sz="4" w:space="0"/>
            </w:tcBorders>
            <w:shd w:val="clear" w:color="auto" w:fill="auto"/>
            <w:vAlign w:val="center"/>
          </w:tcPr>
          <w:p w14:paraId="3B113715">
            <w:pPr>
              <w:spacing w:after="0" w:line="0" w:lineRule="atLeast"/>
              <w:jc w:val="left"/>
              <w:rPr>
                <w:rFonts w:hint="default" w:ascii="Times New Roman" w:hAnsi="Times New Roman" w:cs="Times New Roman"/>
              </w:rPr>
            </w:pPr>
            <w:r>
              <w:rPr>
                <w:rFonts w:hint="default" w:ascii="Times New Roman" w:hAnsi="Times New Roman" w:cs="Times New Roman"/>
              </w:rPr>
              <w:t>Taurine deficiency as a driver of aging.</w:t>
            </w:r>
          </w:p>
        </w:tc>
        <w:tc>
          <w:tcPr>
            <w:tcW w:w="14100" w:type="dxa"/>
            <w:tcBorders>
              <w:top w:val="dashed" w:color="000000" w:sz="4" w:space="0"/>
              <w:bottom w:val="dashed" w:color="000000" w:sz="4" w:space="0"/>
            </w:tcBorders>
            <w:shd w:val="clear" w:color="auto" w:fill="auto"/>
            <w:vAlign w:val="center"/>
          </w:tcPr>
          <w:p w14:paraId="1E7AF407">
            <w:pPr>
              <w:spacing w:after="0" w:line="0" w:lineRule="atLeast"/>
              <w:jc w:val="left"/>
              <w:rPr>
                <w:rFonts w:hint="default" w:ascii="Times New Roman" w:hAnsi="Times New Roman" w:cs="Times New Roman"/>
              </w:rPr>
            </w:pPr>
            <w:r>
              <w:rPr>
                <w:rFonts w:hint="default" w:ascii="Times New Roman" w:hAnsi="Times New Roman" w:cs="Times New Roman"/>
              </w:rPr>
              <w:t>Taurine has successfully exerted a variety of effects such as delaying cellular aging, activating autophagy, reducing inflammation, and maintaining mitochondrial function.</w:t>
            </w:r>
          </w:p>
        </w:tc>
      </w:tr>
      <w:tr w14:paraId="36A1E63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3B2E3A7F">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Coenzyme Q10</w:t>
            </w:r>
          </w:p>
        </w:tc>
        <w:tc>
          <w:tcPr>
            <w:tcW w:w="5900" w:type="dxa"/>
            <w:tcBorders>
              <w:top w:val="dashed" w:color="000000" w:sz="4" w:space="0"/>
              <w:bottom w:val="dashed" w:color="000000" w:sz="4" w:space="0"/>
            </w:tcBorders>
            <w:shd w:val="clear" w:color="auto" w:fill="auto"/>
            <w:vAlign w:val="center"/>
          </w:tcPr>
          <w:p w14:paraId="7786EE94">
            <w:pPr>
              <w:spacing w:after="0" w:line="0" w:lineRule="atLeast"/>
              <w:jc w:val="left"/>
              <w:rPr>
                <w:rFonts w:hint="default" w:ascii="Times New Roman" w:hAnsi="Times New Roman" w:cs="Times New Roman"/>
              </w:rPr>
            </w:pPr>
            <w:r>
              <w:rPr>
                <w:rFonts w:hint="default" w:ascii="Times New Roman" w:hAnsi="Times New Roman" w:cs="Times New Roman"/>
              </w:rPr>
              <w:t>Coenzyme Q10: Clinical Applications beyond Cardiovascular Diseases.</w:t>
            </w:r>
          </w:p>
        </w:tc>
        <w:tc>
          <w:tcPr>
            <w:tcW w:w="14100" w:type="dxa"/>
            <w:tcBorders>
              <w:top w:val="dashed" w:color="000000" w:sz="4" w:space="0"/>
              <w:bottom w:val="dashed" w:color="000000" w:sz="4" w:space="0"/>
            </w:tcBorders>
            <w:shd w:val="clear" w:color="auto" w:fill="auto"/>
            <w:vAlign w:val="center"/>
          </w:tcPr>
          <w:p w14:paraId="0E7B98CF">
            <w:pPr>
              <w:spacing w:after="0" w:line="0" w:lineRule="atLeast"/>
              <w:jc w:val="left"/>
              <w:rPr>
                <w:rFonts w:hint="default" w:ascii="Times New Roman" w:hAnsi="Times New Roman" w:cs="Times New Roman"/>
              </w:rPr>
            </w:pPr>
            <w:r>
              <w:rPr>
                <w:rFonts w:hint="default" w:ascii="Times New Roman" w:hAnsi="Times New Roman" w:cs="Times New Roman"/>
              </w:rPr>
              <w:t>The nutrient coenzyme Q10 shows promise in preventing and slowing down degenerative diseases, including cardiovascular events and brain ageing. It acts through multiple mechanisms to enhance mitochondrial energy output while combating chronic inflammation and oxidative stress.</w:t>
            </w:r>
          </w:p>
        </w:tc>
      </w:tr>
      <w:tr w14:paraId="668C7F38">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7C08809F">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 - Lipoic acid</w:t>
            </w:r>
          </w:p>
        </w:tc>
        <w:tc>
          <w:tcPr>
            <w:tcW w:w="5900" w:type="dxa"/>
            <w:tcBorders>
              <w:top w:val="dashed" w:color="000000" w:sz="4" w:space="0"/>
              <w:bottom w:val="dashed" w:color="000000" w:sz="4" w:space="0"/>
            </w:tcBorders>
            <w:shd w:val="clear" w:color="auto" w:fill="auto"/>
            <w:vAlign w:val="center"/>
          </w:tcPr>
          <w:p w14:paraId="6D3B5503">
            <w:pPr>
              <w:spacing w:after="0" w:line="0" w:lineRule="atLeast"/>
              <w:jc w:val="left"/>
              <w:rPr>
                <w:rFonts w:hint="default" w:ascii="Times New Roman" w:hAnsi="Times New Roman" w:cs="Times New Roman"/>
              </w:rPr>
            </w:pPr>
            <w:r>
              <w:rPr>
                <w:rFonts w:hint="default" w:ascii="Times New Roman" w:hAnsi="Times New Roman" w:cs="Times New Roman"/>
              </w:rPr>
              <w:t xml:space="preserve">(+)-Lipoic acid reduces mitochondrial unfolded protein response and attenuates oxidative stress and aging in an </w:t>
            </w:r>
            <w:r>
              <w:rPr>
                <w:rFonts w:hint="default" w:ascii="Times New Roman" w:hAnsi="Times New Roman" w:cs="Times New Roman"/>
                <w:i/>
                <w:iCs/>
              </w:rPr>
              <w:t>in vitro</w:t>
            </w:r>
            <w:r>
              <w:rPr>
                <w:rFonts w:hint="default" w:ascii="Times New Roman" w:hAnsi="Times New Roman" w:cs="Times New Roman"/>
              </w:rPr>
              <w:t xml:space="preserve"> model of non-alcoholic fatty liver disease</w:t>
            </w:r>
          </w:p>
        </w:tc>
        <w:tc>
          <w:tcPr>
            <w:tcW w:w="14100" w:type="dxa"/>
            <w:tcBorders>
              <w:top w:val="dashed" w:color="000000" w:sz="4" w:space="0"/>
              <w:bottom w:val="dashed" w:color="000000" w:sz="4" w:space="0"/>
            </w:tcBorders>
            <w:shd w:val="clear" w:color="auto" w:fill="auto"/>
            <w:vAlign w:val="center"/>
          </w:tcPr>
          <w:p w14:paraId="18393AAB">
            <w:pPr>
              <w:spacing w:after="0" w:line="0" w:lineRule="atLeast"/>
              <w:jc w:val="left"/>
              <w:rPr>
                <w:rFonts w:hint="default" w:ascii="Times New Roman" w:hAnsi="Times New Roman" w:cs="Times New Roman"/>
              </w:rPr>
            </w:pPr>
            <w:r>
              <w:rPr>
                <w:rFonts w:hint="default" w:ascii="Times New Roman" w:hAnsi="Times New Roman" w:cs="Times New Roman"/>
              </w:rPr>
              <w:t>ALA ameliorated oxidative stress induced by fatty acids as well as mitochondrial membrane potential. It also had an ameliorating effect on the expression of cellular senescence-related markers beta-galactosidase, gammaH2Ax and Klotho-beta.</w:t>
            </w:r>
          </w:p>
        </w:tc>
      </w:tr>
      <w:tr w14:paraId="085387CF">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36F98406">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Hydrogen sulfide</w:t>
            </w:r>
          </w:p>
        </w:tc>
        <w:tc>
          <w:tcPr>
            <w:tcW w:w="5900" w:type="dxa"/>
            <w:tcBorders>
              <w:top w:val="dashed" w:color="000000" w:sz="4" w:space="0"/>
              <w:bottom w:val="dashed" w:color="000000" w:sz="4" w:space="0"/>
            </w:tcBorders>
            <w:shd w:val="clear" w:color="auto" w:fill="auto"/>
            <w:vAlign w:val="center"/>
          </w:tcPr>
          <w:p w14:paraId="1D4ABD9D">
            <w:pPr>
              <w:spacing w:after="0" w:line="0" w:lineRule="atLeast"/>
              <w:jc w:val="left"/>
              <w:rPr>
                <w:rFonts w:hint="default" w:ascii="Times New Roman" w:hAnsi="Times New Roman" w:cs="Times New Roman"/>
              </w:rPr>
            </w:pPr>
            <w:r>
              <w:rPr>
                <w:rFonts w:hint="default" w:ascii="Times New Roman" w:hAnsi="Times New Roman" w:cs="Times New Roman"/>
              </w:rPr>
              <w:t>Hydrogen sulfide attenuates mitochondrial dysfunction-induced cellular senescence and apoptosis in alveolar epithelial cells by upregulating sirtuin 1</w:t>
            </w:r>
          </w:p>
        </w:tc>
        <w:tc>
          <w:tcPr>
            <w:tcW w:w="14100" w:type="dxa"/>
            <w:tcBorders>
              <w:top w:val="dashed" w:color="000000" w:sz="4" w:space="0"/>
              <w:bottom w:val="dashed" w:color="000000" w:sz="4" w:space="0"/>
            </w:tcBorders>
            <w:shd w:val="clear" w:color="auto" w:fill="auto"/>
            <w:vAlign w:val="center"/>
          </w:tcPr>
          <w:p w14:paraId="5758E4EF">
            <w:pPr>
              <w:spacing w:after="0" w:line="0" w:lineRule="atLeast"/>
              <w:jc w:val="left"/>
              <w:rPr>
                <w:rFonts w:hint="default" w:ascii="Times New Roman" w:hAnsi="Times New Roman" w:cs="Times New Roman"/>
              </w:rPr>
            </w:pPr>
            <w:r>
              <w:rPr>
                <w:rFonts w:hint="default" w:ascii="Times New Roman" w:hAnsi="Times New Roman" w:cs="Times New Roman"/>
              </w:rPr>
              <w:t>Hydrogen sulfide attenuates CSE-induced oxidative stress and mitochondrial dysfunction in a SIRT1-dependent manner, thereby inhibiting senescence and apoptosis in alveolar epithelial cells.</w:t>
            </w:r>
          </w:p>
        </w:tc>
      </w:tr>
      <w:tr w14:paraId="475BC08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078DC1A8">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Hydrogen sulfide</w:t>
            </w:r>
          </w:p>
        </w:tc>
        <w:tc>
          <w:tcPr>
            <w:tcW w:w="5900" w:type="dxa"/>
            <w:tcBorders>
              <w:top w:val="dashed" w:color="000000" w:sz="4" w:space="0"/>
              <w:bottom w:val="dashed" w:color="000000" w:sz="4" w:space="0"/>
            </w:tcBorders>
            <w:shd w:val="clear" w:color="auto" w:fill="auto"/>
            <w:vAlign w:val="center"/>
          </w:tcPr>
          <w:p w14:paraId="644AF902">
            <w:pPr>
              <w:spacing w:after="0" w:line="0" w:lineRule="atLeast"/>
              <w:jc w:val="left"/>
              <w:rPr>
                <w:rFonts w:hint="default" w:ascii="Times New Roman" w:hAnsi="Times New Roman" w:cs="Times New Roman"/>
              </w:rPr>
            </w:pPr>
            <w:r>
              <w:rPr>
                <w:rFonts w:hint="default" w:ascii="Times New Roman" w:hAnsi="Times New Roman" w:cs="Times New Roman"/>
              </w:rPr>
              <w:t>Hydrogen sulfide mitigates mitochondrial dysfunction and cellular senescence in diabetic patients: Potential therapeutic applications.</w:t>
            </w:r>
          </w:p>
        </w:tc>
        <w:tc>
          <w:tcPr>
            <w:tcW w:w="14100" w:type="dxa"/>
            <w:tcBorders>
              <w:top w:val="dashed" w:color="000000" w:sz="4" w:space="0"/>
              <w:bottom w:val="dashed" w:color="000000" w:sz="4" w:space="0"/>
            </w:tcBorders>
            <w:shd w:val="clear" w:color="auto" w:fill="auto"/>
            <w:vAlign w:val="center"/>
          </w:tcPr>
          <w:p w14:paraId="2B3FBDA9">
            <w:pPr>
              <w:spacing w:after="0" w:line="0" w:lineRule="atLeast"/>
              <w:jc w:val="left"/>
              <w:rPr>
                <w:rFonts w:hint="default" w:ascii="Times New Roman" w:hAnsi="Times New Roman" w:cs="Times New Roman"/>
              </w:rPr>
            </w:pPr>
            <w:r>
              <w:rPr>
                <w:rFonts w:hint="default" w:ascii="Times New Roman" w:hAnsi="Times New Roman" w:cs="Times New Roman"/>
              </w:rPr>
              <w:t>Hydrogen sulfide regulates diabetes-induced mitochondrial dysfunction to retard cellular senescence, with potential role in ameliorating diabetes and its complications.</w:t>
            </w:r>
          </w:p>
        </w:tc>
      </w:tr>
      <w:tr w14:paraId="58CC60AC">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25F4F2FA">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vitamin D</w:t>
            </w:r>
          </w:p>
        </w:tc>
        <w:tc>
          <w:tcPr>
            <w:tcW w:w="5900" w:type="dxa"/>
            <w:tcBorders>
              <w:top w:val="dashed" w:color="000000" w:sz="4" w:space="0"/>
              <w:bottom w:val="dashed" w:color="000000" w:sz="4" w:space="0"/>
            </w:tcBorders>
            <w:shd w:val="clear" w:color="auto" w:fill="auto"/>
            <w:vAlign w:val="center"/>
          </w:tcPr>
          <w:p w14:paraId="411A19B1">
            <w:pPr>
              <w:spacing w:after="0" w:line="0" w:lineRule="atLeast"/>
              <w:jc w:val="left"/>
              <w:rPr>
                <w:rFonts w:hint="default" w:ascii="Times New Roman" w:hAnsi="Times New Roman" w:cs="Times New Roman"/>
              </w:rPr>
            </w:pPr>
            <w:r>
              <w:rPr>
                <w:rFonts w:hint="default" w:ascii="Times New Roman" w:hAnsi="Times New Roman" w:cs="Times New Roman"/>
              </w:rPr>
              <w:t>The role of vitamin D on redox regulation and cellular senescence</w:t>
            </w:r>
          </w:p>
        </w:tc>
        <w:tc>
          <w:tcPr>
            <w:tcW w:w="14100" w:type="dxa"/>
            <w:tcBorders>
              <w:top w:val="dashed" w:color="000000" w:sz="4" w:space="0"/>
              <w:bottom w:val="dashed" w:color="000000" w:sz="4" w:space="0"/>
            </w:tcBorders>
            <w:shd w:val="clear" w:color="auto" w:fill="auto"/>
            <w:vAlign w:val="center"/>
          </w:tcPr>
          <w:p w14:paraId="21586FF9">
            <w:pPr>
              <w:spacing w:after="0" w:line="0" w:lineRule="atLeast"/>
              <w:jc w:val="left"/>
              <w:rPr>
                <w:rFonts w:hint="default" w:ascii="Times New Roman" w:hAnsi="Times New Roman" w:cs="Times New Roman"/>
              </w:rPr>
            </w:pPr>
            <w:r>
              <w:rPr>
                <w:rFonts w:hint="default" w:ascii="Times New Roman" w:hAnsi="Times New Roman" w:cs="Times New Roman"/>
              </w:rPr>
              <w:t>Vitamin D is involved in regulating mitochondrial function and maintaining mitochondrial homeostasis by promoting mitochondrial fusion, autophagy and biosynthesis. It also slows down cellular senescence through multiple pathways, including regulation of cell cycle proteins, promotion of cell differentiation and improved DNA damage repair.</w:t>
            </w:r>
          </w:p>
        </w:tc>
      </w:tr>
      <w:tr w14:paraId="712ECEEF">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33A58FAF">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Pyruvate</w:t>
            </w:r>
          </w:p>
        </w:tc>
        <w:tc>
          <w:tcPr>
            <w:tcW w:w="5900" w:type="dxa"/>
            <w:tcBorders>
              <w:top w:val="dashed" w:color="000000" w:sz="4" w:space="0"/>
              <w:bottom w:val="dashed" w:color="000000" w:sz="4" w:space="0"/>
            </w:tcBorders>
            <w:shd w:val="clear" w:color="auto" w:fill="auto"/>
            <w:vAlign w:val="center"/>
          </w:tcPr>
          <w:p w14:paraId="7186074F">
            <w:pPr>
              <w:spacing w:after="0" w:line="0" w:lineRule="atLeast"/>
              <w:jc w:val="left"/>
              <w:rPr>
                <w:rFonts w:hint="default" w:ascii="Times New Roman" w:hAnsi="Times New Roman" w:cs="Times New Roman"/>
              </w:rPr>
            </w:pPr>
            <w:r>
              <w:rPr>
                <w:rFonts w:hint="default" w:ascii="Times New Roman" w:hAnsi="Times New Roman" w:cs="Times New Roman"/>
              </w:rPr>
              <w:t>Pyruvate Protects against Cellular Senescence through the Control of Mitochondrial and Lysosomal Function in Dermal Fibroblasts</w:t>
            </w:r>
          </w:p>
        </w:tc>
        <w:tc>
          <w:tcPr>
            <w:tcW w:w="14100" w:type="dxa"/>
            <w:tcBorders>
              <w:top w:val="dashed" w:color="000000" w:sz="4" w:space="0"/>
              <w:bottom w:val="dashed" w:color="000000" w:sz="4" w:space="0"/>
            </w:tcBorders>
            <w:shd w:val="clear" w:color="auto" w:fill="auto"/>
            <w:vAlign w:val="center"/>
          </w:tcPr>
          <w:p w14:paraId="3DD360A1">
            <w:pPr>
              <w:spacing w:after="0" w:line="0" w:lineRule="atLeast"/>
              <w:jc w:val="left"/>
              <w:rPr>
                <w:rFonts w:hint="default" w:ascii="Times New Roman" w:hAnsi="Times New Roman" w:cs="Times New Roman"/>
              </w:rPr>
            </w:pPr>
            <w:r>
              <w:rPr>
                <w:rFonts w:hint="default" w:ascii="Times New Roman" w:hAnsi="Times New Roman" w:cs="Times New Roman"/>
              </w:rPr>
              <w:t>Pyruvate prevents senescence of normal human skin fibroblasts by increasing NAD⁺ production and inhibiting mitochondrial and lysosomal dysfunction.</w:t>
            </w:r>
          </w:p>
        </w:tc>
      </w:tr>
      <w:tr w14:paraId="22F94CF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2BC5ADD9">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Proline</w:t>
            </w:r>
          </w:p>
        </w:tc>
        <w:tc>
          <w:tcPr>
            <w:tcW w:w="5900" w:type="dxa"/>
            <w:tcBorders>
              <w:top w:val="dashed" w:color="000000" w:sz="4" w:space="0"/>
              <w:bottom w:val="dashed" w:color="000000" w:sz="4" w:space="0"/>
            </w:tcBorders>
            <w:shd w:val="clear" w:color="auto" w:fill="auto"/>
            <w:vAlign w:val="center"/>
          </w:tcPr>
          <w:p w14:paraId="59AB1D98">
            <w:pPr>
              <w:spacing w:after="0" w:line="0" w:lineRule="atLeast"/>
              <w:jc w:val="left"/>
              <w:rPr>
                <w:rFonts w:hint="default" w:ascii="Times New Roman" w:hAnsi="Times New Roman" w:cs="Times New Roman"/>
              </w:rPr>
            </w:pPr>
            <w:r>
              <w:rPr>
                <w:rFonts w:hint="default" w:ascii="Times New Roman" w:hAnsi="Times New Roman" w:cs="Times New Roman"/>
              </w:rPr>
              <w:t>Proline restores mitochondrial function and reverses aging hallmarks in senescent cells</w:t>
            </w:r>
          </w:p>
        </w:tc>
        <w:tc>
          <w:tcPr>
            <w:tcW w:w="14100" w:type="dxa"/>
            <w:tcBorders>
              <w:top w:val="dashed" w:color="000000" w:sz="4" w:space="0"/>
              <w:bottom w:val="dashed" w:color="000000" w:sz="4" w:space="0"/>
            </w:tcBorders>
            <w:shd w:val="clear" w:color="auto" w:fill="auto"/>
            <w:vAlign w:val="center"/>
          </w:tcPr>
          <w:p w14:paraId="149B402A">
            <w:pPr>
              <w:spacing w:after="0" w:line="0" w:lineRule="atLeast"/>
              <w:jc w:val="left"/>
              <w:rPr>
                <w:rFonts w:hint="default" w:ascii="Times New Roman" w:hAnsi="Times New Roman" w:cs="Times New Roman"/>
              </w:rPr>
            </w:pPr>
            <w:r>
              <w:rPr>
                <w:rFonts w:hint="default" w:ascii="Times New Roman" w:hAnsi="Times New Roman" w:cs="Times New Roman"/>
              </w:rPr>
              <w:t>Proline supplementation induces Parkin-mediated mitochondrial autophagy, improves mitochondrial function, attenuates DNA damage, senescence-associated β-galactosidase activity, and expression of inflammatory factors, and restores the ability of senescent MSCs to differentiate into muscle.</w:t>
            </w:r>
          </w:p>
        </w:tc>
      </w:tr>
      <w:tr w14:paraId="36EE024B">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510AAB65">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NAD</w:t>
            </w:r>
            <w:r>
              <w:rPr>
                <w:rFonts w:hint="default" w:ascii="Times New Roman" w:hAnsi="Times New Roman" w:cs="Times New Roman"/>
                <w:vertAlign w:val="superscript"/>
              </w:rPr>
              <w:t>+</w:t>
            </w:r>
          </w:p>
        </w:tc>
        <w:tc>
          <w:tcPr>
            <w:tcW w:w="5900" w:type="dxa"/>
            <w:tcBorders>
              <w:top w:val="dashed" w:color="000000" w:sz="4" w:space="0"/>
              <w:bottom w:val="dashed" w:color="000000" w:sz="4" w:space="0"/>
            </w:tcBorders>
            <w:shd w:val="clear" w:color="auto" w:fill="auto"/>
            <w:vAlign w:val="center"/>
          </w:tcPr>
          <w:p w14:paraId="215E31B6">
            <w:pPr>
              <w:spacing w:after="0" w:line="0" w:lineRule="atLeast"/>
              <w:jc w:val="left"/>
              <w:rPr>
                <w:rFonts w:hint="default" w:ascii="Times New Roman" w:hAnsi="Times New Roman" w:cs="Times New Roman"/>
              </w:rPr>
            </w:pPr>
            <w:r>
              <w:rPr>
                <w:rFonts w:hint="default" w:ascii="Times New Roman" w:hAnsi="Times New Roman" w:cs="Times New Roman"/>
              </w:rPr>
              <w:t>Supplementation with nicotinamide limits accelerated aging in affected individuals with cockayne syndrome and restores antioxidant defenses</w:t>
            </w:r>
          </w:p>
        </w:tc>
        <w:tc>
          <w:tcPr>
            <w:tcW w:w="14100" w:type="dxa"/>
            <w:tcBorders>
              <w:top w:val="dashed" w:color="000000" w:sz="4" w:space="0"/>
              <w:bottom w:val="dashed" w:color="000000" w:sz="4" w:space="0"/>
            </w:tcBorders>
            <w:shd w:val="clear" w:color="auto" w:fill="auto"/>
            <w:vAlign w:val="center"/>
          </w:tcPr>
          <w:p w14:paraId="35A5DBCC">
            <w:pPr>
              <w:spacing w:after="0" w:line="0" w:lineRule="atLeast"/>
              <w:jc w:val="left"/>
              <w:rPr>
                <w:rFonts w:hint="default" w:ascii="Times New Roman" w:hAnsi="Times New Roman" w:cs="Times New Roman"/>
              </w:rPr>
            </w:pPr>
            <w:r>
              <w:rPr>
                <w:rFonts w:hint="default" w:ascii="Times New Roman" w:hAnsi="Times New Roman" w:cs="Times New Roman"/>
              </w:rPr>
              <w:t>Nicotinamide supplementation enhances autophagy, reduces inflammation, and restores mitochondrial DNA polymerase-γ levels, thereby improving cellular function and antioxidant defences in CS patients.</w:t>
            </w:r>
          </w:p>
        </w:tc>
      </w:tr>
      <w:tr w14:paraId="6208663F">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63DAC146">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NAD</w:t>
            </w:r>
            <w:r>
              <w:rPr>
                <w:rFonts w:hint="default" w:ascii="Times New Roman" w:hAnsi="Times New Roman" w:cs="Times New Roman"/>
                <w:vertAlign w:val="superscript"/>
              </w:rPr>
              <w:t>+</w:t>
            </w:r>
          </w:p>
        </w:tc>
        <w:tc>
          <w:tcPr>
            <w:tcW w:w="5900" w:type="dxa"/>
            <w:tcBorders>
              <w:top w:val="dashed" w:color="000000" w:sz="4" w:space="0"/>
              <w:bottom w:val="dashed" w:color="000000" w:sz="4" w:space="0"/>
            </w:tcBorders>
            <w:shd w:val="clear" w:color="auto" w:fill="auto"/>
            <w:vAlign w:val="center"/>
          </w:tcPr>
          <w:p w14:paraId="5A3585F3">
            <w:pPr>
              <w:spacing w:after="0" w:line="0" w:lineRule="atLeast"/>
              <w:jc w:val="left"/>
              <w:rPr>
                <w:rFonts w:hint="default" w:ascii="Times New Roman" w:hAnsi="Times New Roman" w:cs="Times New Roman"/>
              </w:rPr>
            </w:pPr>
            <w:r>
              <w:rPr>
                <w:rFonts w:hint="default" w:ascii="Times New Roman" w:hAnsi="Times New Roman" w:cs="Times New Roman"/>
              </w:rPr>
              <w:t>NAD supplementation prevents STING-induced senescence in CD8 T cells by improving mitochondrial homeostasis</w:t>
            </w:r>
          </w:p>
        </w:tc>
        <w:tc>
          <w:tcPr>
            <w:tcW w:w="14100" w:type="dxa"/>
            <w:tcBorders>
              <w:top w:val="dashed" w:color="000000" w:sz="4" w:space="0"/>
              <w:bottom w:val="dashed" w:color="000000" w:sz="4" w:space="0"/>
            </w:tcBorders>
            <w:shd w:val="clear" w:color="auto" w:fill="auto"/>
            <w:vAlign w:val="center"/>
          </w:tcPr>
          <w:p w14:paraId="5260AE37">
            <w:pPr>
              <w:spacing w:after="0" w:line="0" w:lineRule="atLeast"/>
              <w:jc w:val="left"/>
              <w:rPr>
                <w:rFonts w:hint="default" w:ascii="Times New Roman" w:hAnsi="Times New Roman" w:cs="Times New Roman"/>
              </w:rPr>
            </w:pPr>
            <w:r>
              <w:rPr>
                <w:rFonts w:hint="default" w:ascii="Times New Roman" w:hAnsi="Times New Roman" w:cs="Times New Roman"/>
              </w:rPr>
              <w:t>Nicotinamide mononucleotide (NMN) to increase intracellular NAD levels prevents senescence and SASP by promoting mitophagy.Mitophagy may be an effective strategy for preventing CD8 T cell senescence due to mitochondrial dysfunction. In addition, supplementation of NMN to increase NAD levels may improve the survival rate of mice.</w:t>
            </w:r>
          </w:p>
        </w:tc>
      </w:tr>
      <w:tr w14:paraId="4480774E">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dashed" w:color="000000" w:sz="4" w:space="0"/>
            </w:tcBorders>
            <w:shd w:val="clear" w:color="auto" w:fill="auto"/>
            <w:vAlign w:val="center"/>
          </w:tcPr>
          <w:p w14:paraId="774758CC">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Biliverdin Reductase A</w:t>
            </w:r>
          </w:p>
        </w:tc>
        <w:tc>
          <w:tcPr>
            <w:tcW w:w="5900" w:type="dxa"/>
            <w:tcBorders>
              <w:top w:val="dashed" w:color="000000" w:sz="4" w:space="0"/>
              <w:bottom w:val="dashed" w:color="000000" w:sz="4" w:space="0"/>
            </w:tcBorders>
            <w:shd w:val="clear" w:color="auto" w:fill="auto"/>
            <w:vAlign w:val="center"/>
          </w:tcPr>
          <w:p w14:paraId="0726891E">
            <w:pPr>
              <w:spacing w:after="0" w:line="0" w:lineRule="atLeast"/>
              <w:jc w:val="left"/>
              <w:rPr>
                <w:rFonts w:hint="default" w:ascii="Times New Roman" w:hAnsi="Times New Roman" w:cs="Times New Roman"/>
              </w:rPr>
            </w:pPr>
            <w:r>
              <w:rPr>
                <w:rFonts w:hint="default" w:ascii="Times New Roman" w:hAnsi="Times New Roman" w:cs="Times New Roman"/>
              </w:rPr>
              <w:t>Biliverdin Reductase A Protects Lens Epithelial Cells against Oxidative Damage and Cellular Senescence in Age-Related Cataract</w:t>
            </w:r>
          </w:p>
        </w:tc>
        <w:tc>
          <w:tcPr>
            <w:tcW w:w="14100" w:type="dxa"/>
            <w:tcBorders>
              <w:top w:val="dashed" w:color="000000" w:sz="4" w:space="0"/>
              <w:bottom w:val="dashed" w:color="000000" w:sz="4" w:space="0"/>
            </w:tcBorders>
            <w:shd w:val="clear" w:color="auto" w:fill="auto"/>
            <w:vAlign w:val="center"/>
          </w:tcPr>
          <w:p w14:paraId="6C66F2E0">
            <w:pPr>
              <w:spacing w:after="0" w:line="0" w:lineRule="atLeast"/>
              <w:jc w:val="left"/>
              <w:rPr>
                <w:rFonts w:hint="default" w:ascii="Times New Roman" w:hAnsi="Times New Roman" w:cs="Times New Roman"/>
              </w:rPr>
            </w:pPr>
            <w:r>
              <w:rPr>
                <w:rFonts w:hint="default" w:ascii="Times New Roman" w:hAnsi="Times New Roman" w:cs="Times New Roman"/>
              </w:rPr>
              <w:t>BVRA restores mitochondrial dysfunction in a BR-dependent manner; directly induces heme oxygenase-1 (HO-1) expression; and promotes ERK1/2 phosphorylation and nuclear delivery of nuclear factor erythroid 2-related factor 2 (Nrf2), thereby accelerating the G1 phase transition in LECs and preventing HO-induced premature aging.</w:t>
            </w:r>
          </w:p>
        </w:tc>
      </w:tr>
      <w:tr w14:paraId="683A6AE6">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000000" w:sz="4" w:space="0"/>
              <w:bottom w:val="single" w:color="auto" w:sz="12" w:space="0"/>
            </w:tcBorders>
            <w:shd w:val="clear" w:color="auto" w:fill="auto"/>
            <w:vAlign w:val="center"/>
          </w:tcPr>
          <w:p w14:paraId="0F6DD5F6">
            <w:pPr>
              <w:spacing w:after="0" w:line="240" w:lineRule="atLeast"/>
              <w:ind w:left="31" w:leftChars="17"/>
              <w:jc w:val="left"/>
              <w:rPr>
                <w:rFonts w:hint="default" w:ascii="Times New Roman" w:hAnsi="Times New Roman" w:cs="Times New Roman"/>
                <w:b/>
                <w:bCs/>
                <w:sz w:val="21"/>
                <w:szCs w:val="21"/>
              </w:rPr>
            </w:pPr>
            <w:r>
              <w:rPr>
                <w:rFonts w:hint="default" w:ascii="Times New Roman" w:hAnsi="Times New Roman" w:eastAsia="宋体" w:cs="Times New Roman"/>
                <w:b/>
                <w:bCs/>
                <w:color w:val="0E101A"/>
                <w:kern w:val="2"/>
                <w:sz w:val="24"/>
                <w:szCs w:val="24"/>
              </w:rPr>
              <w:t>Lifestyle</w:t>
            </w:r>
          </w:p>
        </w:tc>
        <w:tc>
          <w:tcPr>
            <w:tcW w:w="5900" w:type="dxa"/>
            <w:tcBorders>
              <w:top w:val="dashed" w:color="000000" w:sz="4" w:space="0"/>
              <w:bottom w:val="single" w:color="auto" w:sz="12" w:space="0"/>
            </w:tcBorders>
            <w:shd w:val="clear" w:color="auto" w:fill="auto"/>
            <w:vAlign w:val="center"/>
          </w:tcPr>
          <w:p w14:paraId="03B6040E">
            <w:pPr>
              <w:spacing w:after="0" w:line="0" w:lineRule="atLeast"/>
              <w:jc w:val="left"/>
              <w:rPr>
                <w:rFonts w:hint="default" w:ascii="Times New Roman" w:hAnsi="Times New Roman" w:cs="Times New Roman"/>
              </w:rPr>
            </w:pPr>
          </w:p>
        </w:tc>
        <w:tc>
          <w:tcPr>
            <w:tcW w:w="14100" w:type="dxa"/>
            <w:tcBorders>
              <w:top w:val="dashed" w:color="000000" w:sz="4" w:space="0"/>
              <w:bottom w:val="single" w:color="auto" w:sz="12" w:space="0"/>
            </w:tcBorders>
            <w:shd w:val="clear" w:color="auto" w:fill="auto"/>
            <w:vAlign w:val="center"/>
          </w:tcPr>
          <w:p w14:paraId="78C63DB6">
            <w:pPr>
              <w:spacing w:after="0" w:line="0" w:lineRule="atLeast"/>
              <w:jc w:val="left"/>
              <w:rPr>
                <w:rFonts w:hint="default" w:ascii="Times New Roman" w:hAnsi="Times New Roman" w:cs="Times New Roman"/>
              </w:rPr>
            </w:pPr>
          </w:p>
        </w:tc>
      </w:tr>
      <w:tr w14:paraId="77018BDF">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single" w:color="auto" w:sz="12" w:space="0"/>
              <w:bottom w:val="dashed" w:color="auto" w:sz="4" w:space="0"/>
              <w:right w:val="nil"/>
            </w:tcBorders>
            <w:shd w:val="clear" w:color="auto" w:fill="auto"/>
            <w:vAlign w:val="center"/>
          </w:tcPr>
          <w:p w14:paraId="2423D618">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CR</w:t>
            </w:r>
          </w:p>
        </w:tc>
        <w:tc>
          <w:tcPr>
            <w:tcW w:w="5900" w:type="dxa"/>
            <w:tcBorders>
              <w:top w:val="single" w:color="auto" w:sz="12" w:space="0"/>
              <w:left w:val="nil"/>
              <w:bottom w:val="dashed" w:color="auto" w:sz="4" w:space="0"/>
              <w:right w:val="nil"/>
            </w:tcBorders>
            <w:shd w:val="clear" w:color="auto" w:fill="auto"/>
            <w:vAlign w:val="center"/>
          </w:tcPr>
          <w:p w14:paraId="0DD916B6">
            <w:pPr>
              <w:spacing w:after="0" w:line="0" w:lineRule="atLeast"/>
              <w:jc w:val="left"/>
              <w:rPr>
                <w:rFonts w:hint="default" w:ascii="Times New Roman" w:hAnsi="Times New Roman" w:cs="Times New Roman"/>
              </w:rPr>
            </w:pPr>
            <w:r>
              <w:rPr>
                <w:rFonts w:hint="default" w:ascii="Times New Roman" w:hAnsi="Times New Roman" w:cs="Times New Roman"/>
              </w:rPr>
              <w:t>Mitchell, Caloric restriction.</w:t>
            </w:r>
          </w:p>
        </w:tc>
        <w:tc>
          <w:tcPr>
            <w:tcW w:w="14100" w:type="dxa"/>
            <w:tcBorders>
              <w:top w:val="single" w:color="auto" w:sz="12" w:space="0"/>
              <w:left w:val="nil"/>
              <w:bottom w:val="dashed" w:color="auto" w:sz="4" w:space="0"/>
            </w:tcBorders>
            <w:shd w:val="clear" w:color="auto" w:fill="auto"/>
            <w:vAlign w:val="center"/>
          </w:tcPr>
          <w:p w14:paraId="5C48FC3D">
            <w:pPr>
              <w:spacing w:after="0" w:line="0" w:lineRule="atLeast"/>
              <w:jc w:val="left"/>
              <w:rPr>
                <w:rFonts w:hint="default" w:ascii="Times New Roman" w:hAnsi="Times New Roman" w:cs="Times New Roman"/>
              </w:rPr>
            </w:pPr>
            <w:r>
              <w:rPr>
                <w:rFonts w:hint="default" w:ascii="Times New Roman" w:hAnsi="Times New Roman" w:cs="Times New Roman"/>
              </w:rPr>
              <w:t>Calorie-restricted diets not only extend rodent lifespan, but also reduce disease burden and slow functional decline.</w:t>
            </w:r>
          </w:p>
        </w:tc>
      </w:tr>
      <w:tr w14:paraId="3B176AD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right w:val="nil"/>
            </w:tcBorders>
            <w:shd w:val="clear" w:color="auto" w:fill="auto"/>
            <w:vAlign w:val="center"/>
          </w:tcPr>
          <w:p w14:paraId="115FD071">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CR</w:t>
            </w:r>
          </w:p>
        </w:tc>
        <w:tc>
          <w:tcPr>
            <w:tcW w:w="5900" w:type="dxa"/>
            <w:tcBorders>
              <w:top w:val="dashed" w:color="auto" w:sz="4" w:space="0"/>
              <w:left w:val="nil"/>
              <w:bottom w:val="dashed" w:color="auto" w:sz="4" w:space="0"/>
              <w:right w:val="nil"/>
            </w:tcBorders>
            <w:shd w:val="clear" w:color="auto" w:fill="auto"/>
            <w:vAlign w:val="center"/>
          </w:tcPr>
          <w:p w14:paraId="23CC3E38">
            <w:pPr>
              <w:spacing w:after="0" w:line="0" w:lineRule="atLeast"/>
              <w:jc w:val="left"/>
              <w:rPr>
                <w:rFonts w:hint="default" w:ascii="Times New Roman" w:hAnsi="Times New Roman" w:cs="Times New Roman"/>
              </w:rPr>
            </w:pPr>
            <w:r>
              <w:rPr>
                <w:rFonts w:hint="default" w:ascii="Times New Roman" w:hAnsi="Times New Roman" w:cs="Times New Roman"/>
              </w:rPr>
              <w:t>Antiaging diets: Separating fact from fiction.</w:t>
            </w:r>
          </w:p>
        </w:tc>
        <w:tc>
          <w:tcPr>
            <w:tcW w:w="14100" w:type="dxa"/>
            <w:tcBorders>
              <w:top w:val="dashed" w:color="auto" w:sz="4" w:space="0"/>
              <w:left w:val="nil"/>
              <w:bottom w:val="dashed" w:color="auto" w:sz="4" w:space="0"/>
            </w:tcBorders>
            <w:shd w:val="clear" w:color="auto" w:fill="auto"/>
            <w:vAlign w:val="center"/>
          </w:tcPr>
          <w:p w14:paraId="6D7BA28A">
            <w:pPr>
              <w:spacing w:after="0" w:line="0" w:lineRule="atLeast"/>
              <w:jc w:val="left"/>
              <w:rPr>
                <w:rFonts w:hint="default" w:ascii="Times New Roman" w:hAnsi="Times New Roman" w:cs="Times New Roman"/>
              </w:rPr>
            </w:pPr>
            <w:r>
              <w:rPr>
                <w:rFonts w:hint="default" w:ascii="Times New Roman" w:hAnsi="Times New Roman" w:cs="Times New Roman"/>
              </w:rPr>
              <w:t>Calorie restriction, intermittent fasting, simulated fasting, protein or amino acid restriction diets, time-restricted diets versus ketogenic diets, and other popular current anti-aging dietary patterns have commonalities in improving mitochondrial dysfunction.</w:t>
            </w:r>
          </w:p>
        </w:tc>
      </w:tr>
      <w:tr w14:paraId="6BE60FBA">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right w:val="nil"/>
            </w:tcBorders>
            <w:shd w:val="clear" w:color="auto" w:fill="auto"/>
            <w:vAlign w:val="center"/>
          </w:tcPr>
          <w:p w14:paraId="0C698FF2">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Healthy dietary</w:t>
            </w:r>
          </w:p>
        </w:tc>
        <w:tc>
          <w:tcPr>
            <w:tcW w:w="5900" w:type="dxa"/>
            <w:tcBorders>
              <w:top w:val="dashed" w:color="auto" w:sz="4" w:space="0"/>
              <w:left w:val="nil"/>
              <w:bottom w:val="dashed" w:color="auto" w:sz="4" w:space="0"/>
              <w:right w:val="nil"/>
            </w:tcBorders>
            <w:shd w:val="clear" w:color="auto" w:fill="auto"/>
            <w:vAlign w:val="center"/>
          </w:tcPr>
          <w:p w14:paraId="48C3FD59">
            <w:pPr>
              <w:spacing w:after="0" w:line="0" w:lineRule="atLeast"/>
              <w:jc w:val="left"/>
              <w:rPr>
                <w:rFonts w:hint="default" w:ascii="Times New Roman" w:hAnsi="Times New Roman" w:cs="Times New Roman"/>
              </w:rPr>
            </w:pPr>
            <w:r>
              <w:rPr>
                <w:rFonts w:hint="default" w:ascii="Times New Roman" w:hAnsi="Times New Roman" w:cs="Times New Roman"/>
              </w:rPr>
              <w:t>Healthy eating and all-cause mortality among Chinese aged 80 years or older.</w:t>
            </w:r>
          </w:p>
        </w:tc>
        <w:tc>
          <w:tcPr>
            <w:tcW w:w="14100" w:type="dxa"/>
            <w:tcBorders>
              <w:top w:val="dashed" w:color="auto" w:sz="4" w:space="0"/>
              <w:left w:val="nil"/>
              <w:bottom w:val="dashed" w:color="auto" w:sz="4" w:space="0"/>
            </w:tcBorders>
            <w:shd w:val="clear" w:color="auto" w:fill="auto"/>
            <w:vAlign w:val="center"/>
          </w:tcPr>
          <w:p w14:paraId="21DB0F48">
            <w:pPr>
              <w:spacing w:after="0" w:line="0" w:lineRule="atLeast"/>
              <w:jc w:val="left"/>
              <w:rPr>
                <w:rFonts w:hint="default" w:ascii="Times New Roman" w:hAnsi="Times New Roman" w:cs="Times New Roman"/>
              </w:rPr>
            </w:pPr>
            <w:r>
              <w:rPr>
                <w:rFonts w:hint="default" w:ascii="Times New Roman" w:hAnsi="Times New Roman" w:cs="Times New Roman"/>
              </w:rPr>
              <w:t>Healthy dietary patterns were associated with a significant reduction in the risk of all-cause mortality among the elderly in China, supporting the importance of lifelong adherence to a healthy diet among the elderly.</w:t>
            </w:r>
          </w:p>
        </w:tc>
      </w:tr>
      <w:tr w14:paraId="7D255CD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083" w:type="dxa"/>
            <w:tcBorders>
              <w:top w:val="dashed" w:color="auto" w:sz="4" w:space="0"/>
              <w:bottom w:val="dashed" w:color="auto" w:sz="4" w:space="0"/>
              <w:right w:val="nil"/>
            </w:tcBorders>
            <w:shd w:val="clear" w:color="auto" w:fill="auto"/>
            <w:vAlign w:val="center"/>
          </w:tcPr>
          <w:p w14:paraId="73F632DA">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CR</w:t>
            </w:r>
          </w:p>
        </w:tc>
        <w:tc>
          <w:tcPr>
            <w:tcW w:w="5900" w:type="dxa"/>
            <w:tcBorders>
              <w:top w:val="dashed" w:color="auto" w:sz="4" w:space="0"/>
              <w:left w:val="nil"/>
              <w:bottom w:val="dashed" w:color="auto" w:sz="4" w:space="0"/>
              <w:right w:val="nil"/>
            </w:tcBorders>
            <w:shd w:val="clear" w:color="auto" w:fill="auto"/>
            <w:vAlign w:val="center"/>
          </w:tcPr>
          <w:p w14:paraId="4709BEC5">
            <w:pPr>
              <w:spacing w:after="0" w:line="0" w:lineRule="atLeast"/>
              <w:jc w:val="left"/>
              <w:rPr>
                <w:rFonts w:hint="default" w:ascii="Times New Roman" w:hAnsi="Times New Roman" w:cs="Times New Roman"/>
              </w:rPr>
            </w:pPr>
            <w:r>
              <w:rPr>
                <w:rFonts w:hint="default" w:ascii="Times New Roman" w:hAnsi="Times New Roman" w:cs="Times New Roman"/>
              </w:rPr>
              <w:t>Perspectives on cellular senescence and short term dietary restriction in adults</w:t>
            </w:r>
          </w:p>
        </w:tc>
        <w:tc>
          <w:tcPr>
            <w:tcW w:w="14100" w:type="dxa"/>
            <w:tcBorders>
              <w:top w:val="dashed" w:color="auto" w:sz="4" w:space="0"/>
              <w:left w:val="nil"/>
              <w:bottom w:val="dashed" w:color="auto" w:sz="4" w:space="0"/>
            </w:tcBorders>
            <w:shd w:val="clear" w:color="auto" w:fill="auto"/>
            <w:vAlign w:val="center"/>
          </w:tcPr>
          <w:p w14:paraId="5BE862DB">
            <w:pPr>
              <w:spacing w:after="0" w:line="0" w:lineRule="atLeast"/>
              <w:jc w:val="left"/>
              <w:rPr>
                <w:rFonts w:hint="default" w:ascii="Times New Roman" w:hAnsi="Times New Roman" w:cs="Times New Roman"/>
              </w:rPr>
            </w:pPr>
            <w:r>
              <w:rPr>
                <w:rFonts w:hint="default" w:ascii="Times New Roman" w:hAnsi="Times New Roman" w:cs="Times New Roman"/>
              </w:rPr>
              <w:t>Short-term caloric restriction may reduce cellular senescence by inhibiting mTOR and S6K1 signalling pathways, improving mitochondrial function and reducing reactive oxygen species.</w:t>
            </w:r>
          </w:p>
        </w:tc>
      </w:tr>
      <w:tr w14:paraId="435BBD5C">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right w:val="nil"/>
            </w:tcBorders>
            <w:shd w:val="clear" w:color="auto" w:fill="auto"/>
            <w:vAlign w:val="center"/>
          </w:tcPr>
          <w:p w14:paraId="1D67E340">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Mediterranean diet</w:t>
            </w:r>
          </w:p>
        </w:tc>
        <w:tc>
          <w:tcPr>
            <w:tcW w:w="5900" w:type="dxa"/>
            <w:tcBorders>
              <w:top w:val="dashed" w:color="auto" w:sz="4" w:space="0"/>
              <w:left w:val="nil"/>
              <w:bottom w:val="dashed" w:color="auto" w:sz="4" w:space="0"/>
              <w:right w:val="nil"/>
            </w:tcBorders>
            <w:shd w:val="clear" w:color="auto" w:fill="auto"/>
            <w:vAlign w:val="center"/>
          </w:tcPr>
          <w:p w14:paraId="3585CFD0">
            <w:pPr>
              <w:spacing w:after="0" w:line="0" w:lineRule="atLeast"/>
              <w:jc w:val="left"/>
              <w:rPr>
                <w:rFonts w:hint="default" w:ascii="Times New Roman" w:hAnsi="Times New Roman" w:cs="Times New Roman"/>
              </w:rPr>
            </w:pPr>
            <w:r>
              <w:rPr>
                <w:rFonts w:hint="default" w:ascii="Times New Roman" w:hAnsi="Times New Roman" w:cs="Times New Roman"/>
              </w:rPr>
              <w:t>The role of dietary strategies in the modulation of hallmarks of aging</w:t>
            </w:r>
          </w:p>
        </w:tc>
        <w:tc>
          <w:tcPr>
            <w:tcW w:w="14100" w:type="dxa"/>
            <w:tcBorders>
              <w:top w:val="dashed" w:color="auto" w:sz="4" w:space="0"/>
              <w:left w:val="nil"/>
              <w:bottom w:val="dashed" w:color="auto" w:sz="4" w:space="0"/>
            </w:tcBorders>
            <w:shd w:val="clear" w:color="auto" w:fill="auto"/>
            <w:vAlign w:val="center"/>
          </w:tcPr>
          <w:p w14:paraId="698235ED">
            <w:pPr>
              <w:spacing w:after="0" w:line="0" w:lineRule="atLeast"/>
              <w:jc w:val="left"/>
              <w:rPr>
                <w:rFonts w:hint="default" w:ascii="Times New Roman" w:hAnsi="Times New Roman" w:cs="Times New Roman"/>
              </w:rPr>
            </w:pPr>
            <w:r>
              <w:rPr>
                <w:rFonts w:hint="default" w:ascii="Times New Roman" w:hAnsi="Times New Roman" w:cs="Times New Roman"/>
              </w:rPr>
              <w:t>Specific dietary patterns such as the Mediterranean diet and the ketogenic diet affect the mechanisms of ageing through the enrichment of phytochemicals and unsaturated fatty acids, including the protection of mitochondria, the delay of telomere shortening and the reduction of inflammation.</w:t>
            </w:r>
          </w:p>
        </w:tc>
      </w:tr>
      <w:tr w14:paraId="4B347535">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right w:val="nil"/>
            </w:tcBorders>
            <w:shd w:val="clear" w:color="auto" w:fill="auto"/>
            <w:vAlign w:val="center"/>
          </w:tcPr>
          <w:p w14:paraId="317C3A5B">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CR</w:t>
            </w:r>
          </w:p>
        </w:tc>
        <w:tc>
          <w:tcPr>
            <w:tcW w:w="5900" w:type="dxa"/>
            <w:tcBorders>
              <w:top w:val="dashed" w:color="auto" w:sz="4" w:space="0"/>
              <w:left w:val="nil"/>
              <w:right w:val="nil"/>
            </w:tcBorders>
            <w:shd w:val="clear" w:color="auto" w:fill="auto"/>
            <w:vAlign w:val="center"/>
          </w:tcPr>
          <w:p w14:paraId="05D776ED">
            <w:pPr>
              <w:spacing w:after="0" w:line="0" w:lineRule="atLeast"/>
              <w:jc w:val="left"/>
              <w:rPr>
                <w:rFonts w:hint="default" w:ascii="Times New Roman" w:hAnsi="Times New Roman" w:cs="Times New Roman"/>
              </w:rPr>
            </w:pPr>
            <w:r>
              <w:rPr>
                <w:rFonts w:hint="default" w:ascii="Times New Roman" w:hAnsi="Times New Roman" w:cs="Times New Roman"/>
              </w:rPr>
              <w:t xml:space="preserve">Treating Metabolic Dysregulation and Senescence by Caloric </w:t>
            </w:r>
          </w:p>
          <w:p w14:paraId="35FA089D">
            <w:pPr>
              <w:spacing w:after="0" w:line="0" w:lineRule="atLeast"/>
              <w:jc w:val="left"/>
              <w:rPr>
                <w:rFonts w:hint="default" w:ascii="Times New Roman" w:hAnsi="Times New Roman" w:cs="Times New Roman"/>
              </w:rPr>
            </w:pPr>
            <w:r>
              <w:rPr>
                <w:rFonts w:hint="default" w:ascii="Times New Roman" w:hAnsi="Times New Roman" w:cs="Times New Roman"/>
              </w:rPr>
              <w:t>Restriction: Killing Two Birds with One Stone?</w:t>
            </w:r>
          </w:p>
        </w:tc>
        <w:tc>
          <w:tcPr>
            <w:tcW w:w="14100" w:type="dxa"/>
            <w:tcBorders>
              <w:top w:val="dashed" w:color="auto" w:sz="4" w:space="0"/>
              <w:left w:val="nil"/>
            </w:tcBorders>
            <w:shd w:val="clear" w:color="auto" w:fill="auto"/>
            <w:vAlign w:val="center"/>
          </w:tcPr>
          <w:p w14:paraId="54293072">
            <w:pPr>
              <w:spacing w:after="0" w:line="0" w:lineRule="atLeast"/>
              <w:jc w:val="left"/>
              <w:rPr>
                <w:rFonts w:hint="default" w:ascii="Times New Roman" w:hAnsi="Times New Roman" w:cs="Times New Roman"/>
              </w:rPr>
            </w:pPr>
            <w:r>
              <w:rPr>
                <w:rFonts w:hint="default" w:ascii="Times New Roman" w:hAnsi="Times New Roman" w:cs="Times New Roman"/>
              </w:rPr>
              <w:t>CR can delay the onset of aging-related diseases by reducing oxidative stress, enhancing mitochondrial function and maintaining cellular regenerative capacity.</w:t>
            </w:r>
          </w:p>
        </w:tc>
      </w:tr>
      <w:tr w14:paraId="4F1FB8E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bottom w:val="single" w:color="auto" w:sz="12" w:space="0"/>
            </w:tcBorders>
            <w:shd w:val="clear" w:color="auto" w:fill="auto"/>
            <w:vAlign w:val="center"/>
          </w:tcPr>
          <w:p w14:paraId="36814C65">
            <w:pPr>
              <w:spacing w:after="0" w:line="240" w:lineRule="atLeast"/>
              <w:ind w:left="31" w:leftChars="17"/>
              <w:jc w:val="left"/>
              <w:rPr>
                <w:rFonts w:hint="default" w:ascii="Times New Roman" w:hAnsi="Times New Roman" w:cs="Times New Roman"/>
                <w:b/>
                <w:bCs/>
                <w:sz w:val="21"/>
                <w:szCs w:val="21"/>
              </w:rPr>
            </w:pPr>
            <w:r>
              <w:rPr>
                <w:rFonts w:hint="default" w:ascii="Times New Roman" w:hAnsi="Times New Roman" w:eastAsia="宋体" w:cs="Times New Roman"/>
                <w:b/>
                <w:bCs/>
                <w:color w:val="0E101A"/>
                <w:kern w:val="2"/>
                <w:sz w:val="24"/>
                <w:szCs w:val="24"/>
              </w:rPr>
              <w:t>Exercise</w:t>
            </w:r>
          </w:p>
        </w:tc>
        <w:tc>
          <w:tcPr>
            <w:tcW w:w="5900" w:type="dxa"/>
            <w:tcBorders>
              <w:bottom w:val="single" w:color="auto" w:sz="12" w:space="0"/>
            </w:tcBorders>
            <w:shd w:val="clear" w:color="auto" w:fill="auto"/>
            <w:vAlign w:val="center"/>
          </w:tcPr>
          <w:p w14:paraId="195C85E0">
            <w:pPr>
              <w:spacing w:after="0" w:line="0" w:lineRule="atLeast"/>
              <w:jc w:val="left"/>
              <w:rPr>
                <w:rFonts w:hint="default" w:ascii="Times New Roman" w:hAnsi="Times New Roman" w:cs="Times New Roman"/>
              </w:rPr>
            </w:pPr>
          </w:p>
        </w:tc>
        <w:tc>
          <w:tcPr>
            <w:tcW w:w="14100" w:type="dxa"/>
            <w:tcBorders>
              <w:bottom w:val="single" w:color="auto" w:sz="12" w:space="0"/>
            </w:tcBorders>
            <w:shd w:val="clear" w:color="auto" w:fill="auto"/>
            <w:vAlign w:val="center"/>
          </w:tcPr>
          <w:p w14:paraId="0D88AB49">
            <w:pPr>
              <w:spacing w:after="0" w:line="0" w:lineRule="atLeast"/>
              <w:jc w:val="left"/>
              <w:rPr>
                <w:rFonts w:hint="default" w:ascii="Times New Roman" w:hAnsi="Times New Roman" w:cs="Times New Roman"/>
              </w:rPr>
            </w:pPr>
          </w:p>
        </w:tc>
      </w:tr>
      <w:tr w14:paraId="4945871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single" w:color="auto" w:sz="12" w:space="0"/>
              <w:bottom w:val="dashed" w:color="auto" w:sz="4" w:space="0"/>
            </w:tcBorders>
            <w:shd w:val="clear" w:color="auto" w:fill="auto"/>
            <w:vAlign w:val="center"/>
          </w:tcPr>
          <w:p w14:paraId="0F0473C5">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Endurance exercise</w:t>
            </w:r>
          </w:p>
        </w:tc>
        <w:tc>
          <w:tcPr>
            <w:tcW w:w="5900" w:type="dxa"/>
            <w:tcBorders>
              <w:top w:val="single" w:color="auto" w:sz="12" w:space="0"/>
              <w:bottom w:val="dashed" w:color="auto" w:sz="4" w:space="0"/>
            </w:tcBorders>
            <w:shd w:val="clear" w:color="auto" w:fill="auto"/>
            <w:vAlign w:val="center"/>
          </w:tcPr>
          <w:p w14:paraId="38DA12DA">
            <w:pPr>
              <w:spacing w:after="0" w:line="0" w:lineRule="atLeast"/>
              <w:jc w:val="left"/>
              <w:rPr>
                <w:rFonts w:hint="default" w:ascii="Times New Roman" w:hAnsi="Times New Roman" w:cs="Times New Roman"/>
              </w:rPr>
            </w:pPr>
            <w:r>
              <w:rPr>
                <w:rFonts w:hint="default" w:ascii="Times New Roman" w:hAnsi="Times New Roman" w:cs="Times New Roman"/>
              </w:rPr>
              <w:t>Physical exercise elicits UPRmt in the skeletal muscle: The role of c-Jun N-terminal kinase</w:t>
            </w:r>
          </w:p>
        </w:tc>
        <w:tc>
          <w:tcPr>
            <w:tcW w:w="14100" w:type="dxa"/>
            <w:tcBorders>
              <w:top w:val="single" w:color="auto" w:sz="12" w:space="0"/>
              <w:bottom w:val="dashed" w:color="auto" w:sz="4" w:space="0"/>
            </w:tcBorders>
            <w:shd w:val="clear" w:color="auto" w:fill="auto"/>
            <w:vAlign w:val="center"/>
          </w:tcPr>
          <w:p w14:paraId="2111F736">
            <w:pPr>
              <w:spacing w:after="0" w:line="0" w:lineRule="atLeast"/>
              <w:jc w:val="left"/>
              <w:rPr>
                <w:rFonts w:hint="default" w:ascii="Times New Roman" w:hAnsi="Times New Roman" w:cs="Times New Roman"/>
              </w:rPr>
            </w:pPr>
            <w:r>
              <w:rPr>
                <w:rFonts w:hint="default" w:ascii="Times New Roman" w:hAnsi="Times New Roman" w:cs="Times New Roman"/>
              </w:rPr>
              <w:t>Acute and chronic exercise produces a range of stressful alterations in mitochondria in skeletal muscle at the gene and protein level, including the promotion of UPRmt and mitochondrial biogenesis, and ameliorates the decline in locomotor activity in aged mice.</w:t>
            </w:r>
          </w:p>
        </w:tc>
      </w:tr>
      <w:tr w14:paraId="50356016">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0B5B76B7">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Resistance exercise</w:t>
            </w:r>
          </w:p>
        </w:tc>
        <w:tc>
          <w:tcPr>
            <w:tcW w:w="5900" w:type="dxa"/>
            <w:tcBorders>
              <w:top w:val="dashed" w:color="auto" w:sz="4" w:space="0"/>
              <w:bottom w:val="dashed" w:color="auto" w:sz="4" w:space="0"/>
            </w:tcBorders>
            <w:shd w:val="clear" w:color="auto" w:fill="auto"/>
            <w:vAlign w:val="center"/>
          </w:tcPr>
          <w:p w14:paraId="4EE5EE4C">
            <w:pPr>
              <w:spacing w:after="0" w:line="0" w:lineRule="atLeast"/>
              <w:jc w:val="left"/>
              <w:rPr>
                <w:rFonts w:hint="default" w:ascii="Times New Roman" w:hAnsi="Times New Roman" w:cs="Times New Roman"/>
              </w:rPr>
            </w:pPr>
            <w:r>
              <w:rPr>
                <w:rFonts w:hint="default" w:ascii="Times New Roman" w:hAnsi="Times New Roman" w:cs="Times New Roman"/>
              </w:rPr>
              <w:t>The effect of 12-week resistance exercise training on serum levels of cellular aging process parameters in elderly men.</w:t>
            </w:r>
          </w:p>
        </w:tc>
        <w:tc>
          <w:tcPr>
            <w:tcW w:w="14100" w:type="dxa"/>
            <w:tcBorders>
              <w:top w:val="dashed" w:color="auto" w:sz="4" w:space="0"/>
              <w:bottom w:val="dashed" w:color="auto" w:sz="4" w:space="0"/>
            </w:tcBorders>
            <w:shd w:val="clear" w:color="auto" w:fill="auto"/>
            <w:vAlign w:val="center"/>
          </w:tcPr>
          <w:p w14:paraId="65F3ACB4">
            <w:pPr>
              <w:spacing w:after="0" w:line="0" w:lineRule="atLeast"/>
              <w:jc w:val="left"/>
              <w:rPr>
                <w:rFonts w:hint="default" w:ascii="Times New Roman" w:hAnsi="Times New Roman" w:cs="Times New Roman"/>
              </w:rPr>
            </w:pPr>
            <w:r>
              <w:rPr>
                <w:rFonts w:hint="default" w:ascii="Times New Roman" w:hAnsi="Times New Roman" w:cs="Times New Roman"/>
              </w:rPr>
              <w:t>12-Week RT increased the levels of proteins associated with the biological aging process in elderly men. It seems that the RT may have beneficial effects on cellular senescence and also improved impaired mitochondrial protein and enzymatic functional induced aging.</w:t>
            </w:r>
          </w:p>
        </w:tc>
      </w:tr>
      <w:tr w14:paraId="6EF804E3">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2AB41F02">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Resistance exercise</w:t>
            </w:r>
          </w:p>
        </w:tc>
        <w:tc>
          <w:tcPr>
            <w:tcW w:w="5900" w:type="dxa"/>
            <w:tcBorders>
              <w:top w:val="dashed" w:color="auto" w:sz="4" w:space="0"/>
              <w:bottom w:val="dashed" w:color="auto" w:sz="4" w:space="0"/>
            </w:tcBorders>
            <w:shd w:val="clear" w:color="auto" w:fill="auto"/>
            <w:vAlign w:val="center"/>
          </w:tcPr>
          <w:p w14:paraId="5B166299">
            <w:pPr>
              <w:spacing w:after="0" w:line="0" w:lineRule="atLeast"/>
              <w:jc w:val="left"/>
              <w:rPr>
                <w:rFonts w:hint="default" w:ascii="Times New Roman" w:hAnsi="Times New Roman" w:cs="Times New Roman"/>
              </w:rPr>
            </w:pPr>
            <w:r>
              <w:rPr>
                <w:rFonts w:hint="default" w:ascii="Times New Roman" w:hAnsi="Times New Roman" w:cs="Times New Roman"/>
              </w:rPr>
              <w:t>Resistance training, sarcopenia, and the mitochondrial theory of aging</w:t>
            </w:r>
          </w:p>
        </w:tc>
        <w:tc>
          <w:tcPr>
            <w:tcW w:w="14100" w:type="dxa"/>
            <w:tcBorders>
              <w:top w:val="dashed" w:color="auto" w:sz="4" w:space="0"/>
              <w:bottom w:val="dashed" w:color="auto" w:sz="4" w:space="0"/>
            </w:tcBorders>
            <w:shd w:val="clear" w:color="auto" w:fill="auto"/>
            <w:vAlign w:val="center"/>
          </w:tcPr>
          <w:p w14:paraId="04D15D61">
            <w:pPr>
              <w:spacing w:after="0" w:line="0" w:lineRule="atLeast"/>
              <w:jc w:val="left"/>
              <w:rPr>
                <w:rFonts w:hint="default" w:ascii="Times New Roman" w:hAnsi="Times New Roman" w:cs="Times New Roman"/>
              </w:rPr>
            </w:pPr>
            <w:r>
              <w:rPr>
                <w:rFonts w:hint="default" w:ascii="Times New Roman" w:hAnsi="Times New Roman" w:cs="Times New Roman"/>
              </w:rPr>
              <w:t>Regular resistance training can effectively disturb processes that contribute to the progression of aging as it pertains to the mitochondrial theory.</w:t>
            </w:r>
          </w:p>
        </w:tc>
      </w:tr>
      <w:tr w14:paraId="62DAC2EE">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3BE07093">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Physical exe</w:t>
            </w:r>
            <w:bookmarkStart w:id="2" w:name="_GoBack"/>
            <w:bookmarkEnd w:id="2"/>
            <w:r>
              <w:rPr>
                <w:rFonts w:hint="default" w:ascii="Times New Roman" w:hAnsi="Times New Roman" w:cs="Times New Roman"/>
              </w:rPr>
              <w:t>rcise</w:t>
            </w:r>
          </w:p>
        </w:tc>
        <w:tc>
          <w:tcPr>
            <w:tcW w:w="5900" w:type="dxa"/>
            <w:tcBorders>
              <w:top w:val="dashed" w:color="auto" w:sz="4" w:space="0"/>
              <w:bottom w:val="dashed" w:color="auto" w:sz="4" w:space="0"/>
            </w:tcBorders>
            <w:shd w:val="clear" w:color="auto" w:fill="auto"/>
            <w:vAlign w:val="center"/>
          </w:tcPr>
          <w:p w14:paraId="2C4B97D6">
            <w:pPr>
              <w:spacing w:after="0" w:line="0" w:lineRule="atLeast"/>
              <w:jc w:val="left"/>
              <w:rPr>
                <w:rFonts w:hint="default" w:ascii="Times New Roman" w:hAnsi="Times New Roman" w:cs="Times New Roman"/>
              </w:rPr>
            </w:pPr>
            <w:r>
              <w:rPr>
                <w:rFonts w:hint="default" w:ascii="Times New Roman" w:hAnsi="Times New Roman" w:cs="Times New Roman"/>
              </w:rPr>
              <w:t>Aging Hallmarks: The Benefits of Physical exercise</w:t>
            </w:r>
          </w:p>
        </w:tc>
        <w:tc>
          <w:tcPr>
            <w:tcW w:w="14100" w:type="dxa"/>
            <w:tcBorders>
              <w:top w:val="dashed" w:color="auto" w:sz="4" w:space="0"/>
              <w:bottom w:val="dashed" w:color="auto" w:sz="4" w:space="0"/>
            </w:tcBorders>
            <w:shd w:val="clear" w:color="auto" w:fill="auto"/>
            <w:vAlign w:val="center"/>
          </w:tcPr>
          <w:p w14:paraId="6B0CBDD0">
            <w:pPr>
              <w:spacing w:after="0" w:line="0" w:lineRule="atLeast"/>
              <w:jc w:val="left"/>
              <w:rPr>
                <w:rFonts w:hint="default" w:ascii="Times New Roman" w:hAnsi="Times New Roman" w:cs="Times New Roman"/>
              </w:rPr>
            </w:pPr>
            <w:r>
              <w:rPr>
                <w:rFonts w:hint="default" w:ascii="Times New Roman" w:hAnsi="Times New Roman" w:cs="Times New Roman"/>
              </w:rPr>
              <w:t>Physical activity positively affects all nine cellular and molecular markers of aging, and its significant improvement in enhancing mitochondrial function and inhibiting cellular senescence makes physical activity an effective anti-aging strategy.</w:t>
            </w:r>
          </w:p>
        </w:tc>
      </w:tr>
      <w:tr w14:paraId="14DAF51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tcBorders>
            <w:shd w:val="clear" w:color="auto" w:fill="auto"/>
            <w:vAlign w:val="center"/>
          </w:tcPr>
          <w:p w14:paraId="7D7513BA">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Exercise</w:t>
            </w:r>
          </w:p>
        </w:tc>
        <w:tc>
          <w:tcPr>
            <w:tcW w:w="5900" w:type="dxa"/>
            <w:tcBorders>
              <w:top w:val="dashed" w:color="auto" w:sz="4" w:space="0"/>
            </w:tcBorders>
            <w:shd w:val="clear" w:color="auto" w:fill="auto"/>
            <w:vAlign w:val="center"/>
          </w:tcPr>
          <w:p w14:paraId="0F82BCA9">
            <w:pPr>
              <w:spacing w:after="0" w:line="0" w:lineRule="atLeast"/>
              <w:jc w:val="left"/>
              <w:rPr>
                <w:rFonts w:hint="default" w:ascii="Times New Roman" w:hAnsi="Times New Roman" w:cs="Times New Roman"/>
              </w:rPr>
            </w:pPr>
            <w:r>
              <w:rPr>
                <w:rFonts w:hint="default" w:ascii="Times New Roman" w:hAnsi="Times New Roman" w:cs="Times New Roman"/>
              </w:rPr>
              <w:t>Exercise to Mitigate Cerebrovascular Aging: A Geroscience Perspective</w:t>
            </w:r>
          </w:p>
        </w:tc>
        <w:tc>
          <w:tcPr>
            <w:tcW w:w="14100" w:type="dxa"/>
            <w:tcBorders>
              <w:top w:val="dashed" w:color="auto" w:sz="4" w:space="0"/>
            </w:tcBorders>
            <w:shd w:val="clear" w:color="auto" w:fill="auto"/>
            <w:vAlign w:val="center"/>
          </w:tcPr>
          <w:p w14:paraId="258C5D10">
            <w:pPr>
              <w:spacing w:after="0" w:line="0" w:lineRule="atLeast"/>
              <w:jc w:val="left"/>
              <w:rPr>
                <w:rFonts w:hint="default" w:ascii="Times New Roman" w:hAnsi="Times New Roman" w:cs="Times New Roman"/>
              </w:rPr>
            </w:pPr>
            <w:r>
              <w:rPr>
                <w:rFonts w:hint="default" w:ascii="Times New Roman" w:hAnsi="Times New Roman" w:cs="Times New Roman"/>
              </w:rPr>
              <w:t>Adaptive responses to exercise play a pivotal role in mitigating the hallmarks of aging and their effects on the aging cerebrovasculature, and ultimately contribute to the maintenance of brain function across the healthspan.</w:t>
            </w:r>
          </w:p>
        </w:tc>
      </w:tr>
      <w:tr w14:paraId="1605FCBC">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bottom w:val="single" w:color="auto" w:sz="12" w:space="0"/>
            </w:tcBorders>
            <w:shd w:val="clear" w:color="auto" w:fill="auto"/>
            <w:vAlign w:val="center"/>
          </w:tcPr>
          <w:p w14:paraId="2EF98218">
            <w:pPr>
              <w:spacing w:after="0" w:line="240" w:lineRule="atLeast"/>
              <w:ind w:left="31" w:leftChars="17"/>
              <w:jc w:val="left"/>
              <w:rPr>
                <w:rFonts w:hint="default" w:ascii="Times New Roman" w:hAnsi="Times New Roman" w:cs="Times New Roman"/>
                <w:b/>
                <w:bCs/>
                <w:sz w:val="21"/>
                <w:szCs w:val="21"/>
              </w:rPr>
            </w:pPr>
            <w:r>
              <w:rPr>
                <w:rFonts w:hint="default" w:ascii="Times New Roman" w:hAnsi="Times New Roman" w:eastAsia="宋体" w:cs="Times New Roman"/>
                <w:b/>
                <w:bCs/>
                <w:color w:val="0E101A"/>
                <w:kern w:val="2"/>
                <w:sz w:val="24"/>
                <w:szCs w:val="24"/>
              </w:rPr>
              <w:t>Others</w:t>
            </w:r>
          </w:p>
        </w:tc>
        <w:tc>
          <w:tcPr>
            <w:tcW w:w="5900" w:type="dxa"/>
            <w:tcBorders>
              <w:bottom w:val="single" w:color="auto" w:sz="12" w:space="0"/>
            </w:tcBorders>
            <w:shd w:val="clear" w:color="auto" w:fill="auto"/>
            <w:vAlign w:val="center"/>
          </w:tcPr>
          <w:p w14:paraId="3500AD88">
            <w:pPr>
              <w:spacing w:after="0" w:line="0" w:lineRule="atLeast"/>
              <w:jc w:val="left"/>
              <w:rPr>
                <w:rFonts w:hint="default" w:ascii="Times New Roman" w:hAnsi="Times New Roman" w:cs="Times New Roman"/>
              </w:rPr>
            </w:pPr>
          </w:p>
        </w:tc>
        <w:tc>
          <w:tcPr>
            <w:tcW w:w="14100" w:type="dxa"/>
            <w:tcBorders>
              <w:bottom w:val="single" w:color="auto" w:sz="12" w:space="0"/>
            </w:tcBorders>
            <w:shd w:val="clear" w:color="auto" w:fill="auto"/>
            <w:vAlign w:val="center"/>
          </w:tcPr>
          <w:p w14:paraId="760E19F0">
            <w:pPr>
              <w:spacing w:after="0" w:line="0" w:lineRule="atLeast"/>
              <w:jc w:val="left"/>
              <w:rPr>
                <w:rFonts w:hint="default" w:ascii="Times New Roman" w:hAnsi="Times New Roman" w:cs="Times New Roman"/>
              </w:rPr>
            </w:pPr>
          </w:p>
        </w:tc>
      </w:tr>
      <w:tr w14:paraId="460F345D">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single" w:color="auto" w:sz="12" w:space="0"/>
              <w:bottom w:val="dashed" w:color="auto" w:sz="4" w:space="0"/>
            </w:tcBorders>
            <w:shd w:val="clear" w:color="auto" w:fill="auto"/>
            <w:vAlign w:val="center"/>
          </w:tcPr>
          <w:p w14:paraId="7EBD652D">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molecular</w:t>
            </w:r>
          </w:p>
        </w:tc>
        <w:tc>
          <w:tcPr>
            <w:tcW w:w="5900" w:type="dxa"/>
            <w:tcBorders>
              <w:top w:val="single" w:color="auto" w:sz="12" w:space="0"/>
              <w:bottom w:val="dashed" w:color="auto" w:sz="4" w:space="0"/>
            </w:tcBorders>
            <w:shd w:val="clear" w:color="auto" w:fill="auto"/>
            <w:vAlign w:val="center"/>
          </w:tcPr>
          <w:p w14:paraId="42DF67FB">
            <w:pPr>
              <w:spacing w:after="0" w:line="0" w:lineRule="atLeast"/>
              <w:jc w:val="left"/>
              <w:rPr>
                <w:rFonts w:hint="default" w:ascii="Times New Roman" w:hAnsi="Times New Roman" w:cs="Times New Roman"/>
              </w:rPr>
            </w:pPr>
            <w:r>
              <w:rPr>
                <w:rFonts w:hint="default" w:ascii="Times New Roman" w:hAnsi="Times New Roman" w:cs="Times New Roman"/>
              </w:rPr>
              <w:t>Vutiglabridin Alleviates Cellular Senescence with Metabolic Regulation and Circadian Clock in Human Dermal Fibroblasts</w:t>
            </w:r>
          </w:p>
        </w:tc>
        <w:tc>
          <w:tcPr>
            <w:tcW w:w="14100" w:type="dxa"/>
            <w:tcBorders>
              <w:top w:val="single" w:color="auto" w:sz="12" w:space="0"/>
              <w:bottom w:val="dashed" w:color="auto" w:sz="4" w:space="0"/>
            </w:tcBorders>
            <w:shd w:val="clear" w:color="auto" w:fill="auto"/>
            <w:vAlign w:val="center"/>
          </w:tcPr>
          <w:p w14:paraId="0FA4F31C">
            <w:pPr>
              <w:spacing w:after="0" w:line="0" w:lineRule="atLeast"/>
              <w:jc w:val="left"/>
              <w:rPr>
                <w:rFonts w:hint="default" w:ascii="Times New Roman" w:hAnsi="Times New Roman" w:cs="Times New Roman"/>
              </w:rPr>
            </w:pPr>
            <w:r>
              <w:rPr>
                <w:rFonts w:hint="default" w:ascii="Times New Roman" w:hAnsi="Times New Roman" w:cs="Times New Roman"/>
              </w:rPr>
              <w:t>Vutiglabridin regulates metabolism by activating the AMPK (AMP-activated protein kinase) signalling pathway, enhances mitochondrial function, and reduces the production of reactive oxygen species (ROS), thereby improving the metabolic health of cells and reducing cellular senescence.</w:t>
            </w:r>
          </w:p>
        </w:tc>
      </w:tr>
      <w:tr w14:paraId="1025334E">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5058C0A8">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genetic tool</w:t>
            </w:r>
          </w:p>
        </w:tc>
        <w:tc>
          <w:tcPr>
            <w:tcW w:w="5900" w:type="dxa"/>
            <w:tcBorders>
              <w:top w:val="dashed" w:color="auto" w:sz="4" w:space="0"/>
              <w:bottom w:val="dashed" w:color="auto" w:sz="4" w:space="0"/>
            </w:tcBorders>
            <w:shd w:val="clear" w:color="auto" w:fill="auto"/>
            <w:vAlign w:val="center"/>
          </w:tcPr>
          <w:p w14:paraId="77E3C3F2">
            <w:pPr>
              <w:spacing w:after="0" w:line="0" w:lineRule="atLeast"/>
              <w:jc w:val="left"/>
              <w:rPr>
                <w:rFonts w:hint="default" w:ascii="Times New Roman" w:hAnsi="Times New Roman" w:cs="Times New Roman"/>
              </w:rPr>
            </w:pPr>
            <w:r>
              <w:rPr>
                <w:rFonts w:hint="default" w:ascii="Times New Roman" w:hAnsi="Times New Roman" w:cs="Times New Roman"/>
              </w:rPr>
              <w:t>Inhibition of DAPK3 Suppresses Radiation-Induced Cellular Senescence by Activation of a PGC1α-Dependent Metabolism Pathway in Brain Endothelial Cells.</w:t>
            </w:r>
          </w:p>
        </w:tc>
        <w:tc>
          <w:tcPr>
            <w:tcW w:w="14100" w:type="dxa"/>
            <w:tcBorders>
              <w:top w:val="dashed" w:color="auto" w:sz="4" w:space="0"/>
              <w:bottom w:val="dashed" w:color="auto" w:sz="4" w:space="0"/>
            </w:tcBorders>
            <w:shd w:val="clear" w:color="auto" w:fill="auto"/>
            <w:vAlign w:val="center"/>
          </w:tcPr>
          <w:p w14:paraId="77E10FB9">
            <w:pPr>
              <w:spacing w:after="0" w:line="0" w:lineRule="atLeast"/>
              <w:jc w:val="left"/>
              <w:rPr>
                <w:rFonts w:hint="default" w:ascii="Times New Roman" w:hAnsi="Times New Roman" w:cs="Times New Roman"/>
              </w:rPr>
            </w:pPr>
            <w:r>
              <w:rPr>
                <w:rFonts w:hint="default" w:ascii="Times New Roman" w:hAnsi="Times New Roman" w:cs="Times New Roman"/>
              </w:rPr>
              <w:t>Disrupted DAPK3 activity using small interfering RNA (siRNA) or a dominant-negative mutant (DAPK3-P216S), which reduced cellular senescence phenotypes, as assessed by changes in tube formation, senescence-associated beta-galactosidase activity, and cell proliferation.</w:t>
            </w:r>
          </w:p>
        </w:tc>
      </w:tr>
      <w:tr w14:paraId="424B4550">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7E2DFDFD">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organic compound</w:t>
            </w:r>
          </w:p>
        </w:tc>
        <w:tc>
          <w:tcPr>
            <w:tcW w:w="5900" w:type="dxa"/>
            <w:tcBorders>
              <w:top w:val="dashed" w:color="auto" w:sz="4" w:space="0"/>
              <w:bottom w:val="dashed" w:color="auto" w:sz="4" w:space="0"/>
            </w:tcBorders>
            <w:shd w:val="clear" w:color="auto" w:fill="auto"/>
            <w:vAlign w:val="center"/>
          </w:tcPr>
          <w:p w14:paraId="4575DE20">
            <w:pPr>
              <w:spacing w:after="0" w:line="0" w:lineRule="atLeast"/>
              <w:jc w:val="left"/>
              <w:rPr>
                <w:rFonts w:hint="default" w:ascii="Times New Roman" w:hAnsi="Times New Roman" w:cs="Times New Roman"/>
              </w:rPr>
            </w:pPr>
            <w:r>
              <w:rPr>
                <w:rFonts w:hint="default" w:ascii="Times New Roman" w:hAnsi="Times New Roman" w:cs="Times New Roman"/>
              </w:rPr>
              <w:t>Methylene blue delays cellular senescence and enhances key mitochondrial biochemical pathways</w:t>
            </w:r>
          </w:p>
        </w:tc>
        <w:tc>
          <w:tcPr>
            <w:tcW w:w="14100" w:type="dxa"/>
            <w:tcBorders>
              <w:top w:val="dashed" w:color="auto" w:sz="4" w:space="0"/>
              <w:bottom w:val="dashed" w:color="auto" w:sz="4" w:space="0"/>
            </w:tcBorders>
            <w:shd w:val="clear" w:color="auto" w:fill="auto"/>
            <w:vAlign w:val="center"/>
          </w:tcPr>
          <w:p w14:paraId="55D75E58">
            <w:pPr>
              <w:spacing w:after="0" w:line="0" w:lineRule="atLeast"/>
              <w:jc w:val="left"/>
              <w:rPr>
                <w:rFonts w:hint="default" w:ascii="Times New Roman" w:hAnsi="Times New Roman" w:cs="Times New Roman"/>
              </w:rPr>
            </w:pPr>
            <w:r>
              <w:rPr>
                <w:rFonts w:hint="default" w:ascii="Times New Roman" w:hAnsi="Times New Roman" w:cs="Times New Roman"/>
              </w:rPr>
              <w:t>MB interacts with mitochondrial electron carriers via redox cycling within the cell to reduce oxidative stress, thereby slowing down cellular aging.</w:t>
            </w:r>
          </w:p>
        </w:tc>
      </w:tr>
      <w:tr w14:paraId="37A4129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5CAEE4C1">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mixtures</w:t>
            </w:r>
          </w:p>
        </w:tc>
        <w:tc>
          <w:tcPr>
            <w:tcW w:w="5900" w:type="dxa"/>
            <w:tcBorders>
              <w:top w:val="dashed" w:color="auto" w:sz="4" w:space="0"/>
              <w:bottom w:val="dashed" w:color="auto" w:sz="4" w:space="0"/>
            </w:tcBorders>
            <w:shd w:val="clear" w:color="auto" w:fill="auto"/>
            <w:vAlign w:val="center"/>
          </w:tcPr>
          <w:p w14:paraId="3C8AA006">
            <w:pPr>
              <w:spacing w:after="0" w:line="0" w:lineRule="atLeast"/>
              <w:jc w:val="left"/>
              <w:rPr>
                <w:rFonts w:hint="default" w:ascii="Times New Roman" w:hAnsi="Times New Roman" w:cs="Times New Roman"/>
              </w:rPr>
            </w:pPr>
            <w:r>
              <w:rPr>
                <w:rFonts w:hint="default" w:ascii="Times New Roman" w:hAnsi="Times New Roman" w:cs="Times New Roman"/>
              </w:rPr>
              <w:t>The Extracellular Matrix Vitalizer RA</w:t>
            </w:r>
            <w:r>
              <w:rPr>
                <w:rFonts w:hint="default" w:ascii="Times New Roman" w:hAnsi="Times New Roman" w:cs="Times New Roman"/>
                <w:vertAlign w:val="superscript"/>
              </w:rPr>
              <w:t>TM</w:t>
            </w:r>
            <w:r>
              <w:rPr>
                <w:rFonts w:hint="default" w:ascii="Times New Roman" w:hAnsi="Times New Roman" w:cs="Times New Roman"/>
              </w:rPr>
              <w:t xml:space="preserve"> Increased Skin Elasticity by Modulating Mitochondrial Function in Aged Animal Skin</w:t>
            </w:r>
          </w:p>
        </w:tc>
        <w:tc>
          <w:tcPr>
            <w:tcW w:w="14100" w:type="dxa"/>
            <w:tcBorders>
              <w:top w:val="dashed" w:color="auto" w:sz="4" w:space="0"/>
              <w:bottom w:val="dashed" w:color="auto" w:sz="4" w:space="0"/>
            </w:tcBorders>
            <w:shd w:val="clear" w:color="auto" w:fill="auto"/>
            <w:vAlign w:val="center"/>
          </w:tcPr>
          <w:p w14:paraId="2D29CCD7">
            <w:pPr>
              <w:spacing w:after="0" w:line="0" w:lineRule="atLeast"/>
              <w:jc w:val="left"/>
              <w:rPr>
                <w:rFonts w:hint="default" w:ascii="Times New Roman" w:hAnsi="Times New Roman" w:cs="Times New Roman"/>
              </w:rPr>
            </w:pPr>
            <w:r>
              <w:rPr>
                <w:rFonts w:hint="default" w:ascii="Times New Roman" w:hAnsi="Times New Roman" w:cs="Times New Roman"/>
              </w:rPr>
              <w:t>RA</w:t>
            </w:r>
            <w:r>
              <w:rPr>
                <w:rFonts w:hint="default" w:ascii="Times New Roman" w:hAnsi="Times New Roman" w:cs="Times New Roman"/>
                <w:vertAlign w:val="superscript"/>
              </w:rPr>
              <w:t>TM</w:t>
            </w:r>
            <w:r>
              <w:rPr>
                <w:rFonts w:hint="default" w:ascii="Times New Roman" w:hAnsi="Times New Roman" w:cs="Times New Roman"/>
              </w:rPr>
              <w:t xml:space="preserve"> contains a variety of antioxidants and sodium hyaluronate to reduce oxidative stress and mitochondrial dysfunction, thereby increasing skin elasticity.</w:t>
            </w:r>
          </w:p>
        </w:tc>
      </w:tr>
      <w:tr w14:paraId="0FC71D97">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2C6A3DCB">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molecular</w:t>
            </w:r>
          </w:p>
        </w:tc>
        <w:tc>
          <w:tcPr>
            <w:tcW w:w="5900" w:type="dxa"/>
            <w:tcBorders>
              <w:top w:val="dashed" w:color="auto" w:sz="4" w:space="0"/>
              <w:bottom w:val="dashed" w:color="auto" w:sz="4" w:space="0"/>
            </w:tcBorders>
            <w:shd w:val="clear" w:color="auto" w:fill="auto"/>
            <w:vAlign w:val="center"/>
          </w:tcPr>
          <w:p w14:paraId="02D14FCB">
            <w:pPr>
              <w:spacing w:after="0" w:line="0" w:lineRule="atLeast"/>
              <w:jc w:val="left"/>
              <w:rPr>
                <w:rFonts w:hint="default" w:ascii="Times New Roman" w:hAnsi="Times New Roman" w:cs="Times New Roman"/>
              </w:rPr>
            </w:pPr>
            <w:r>
              <w:rPr>
                <w:rFonts w:hint="default" w:ascii="Times New Roman" w:hAnsi="Times New Roman" w:cs="Times New Roman"/>
              </w:rPr>
              <w:t>KYA1797K, a Novel Small Molecule Destabilizing β-Catenin, Is Superior to ICG-001 in Protecting against Kidney Aging</w:t>
            </w:r>
          </w:p>
        </w:tc>
        <w:tc>
          <w:tcPr>
            <w:tcW w:w="14100" w:type="dxa"/>
            <w:tcBorders>
              <w:top w:val="dashed" w:color="auto" w:sz="4" w:space="0"/>
              <w:bottom w:val="dashed" w:color="auto" w:sz="4" w:space="0"/>
            </w:tcBorders>
            <w:shd w:val="clear" w:color="auto" w:fill="auto"/>
            <w:vAlign w:val="center"/>
          </w:tcPr>
          <w:p w14:paraId="32EED751">
            <w:pPr>
              <w:spacing w:after="0" w:line="0" w:lineRule="atLeast"/>
              <w:jc w:val="left"/>
              <w:rPr>
                <w:rFonts w:hint="default" w:ascii="Times New Roman" w:hAnsi="Times New Roman" w:cs="Times New Roman"/>
              </w:rPr>
            </w:pPr>
            <w:r>
              <w:rPr>
                <w:rFonts w:hint="default" w:ascii="Times New Roman" w:hAnsi="Times New Roman" w:cs="Times New Roman"/>
              </w:rPr>
              <w:t>KYA1797K significantly inhibits the β-catenin signalling pathway, maintains mitochondrial homeostasis and inhibits cellular senescence and age-related renal fibrosis.</w:t>
            </w:r>
          </w:p>
        </w:tc>
      </w:tr>
      <w:tr w14:paraId="724263A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64C6E832">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genetic tool</w:t>
            </w:r>
          </w:p>
        </w:tc>
        <w:tc>
          <w:tcPr>
            <w:tcW w:w="5900" w:type="dxa"/>
            <w:tcBorders>
              <w:top w:val="dashed" w:color="auto" w:sz="4" w:space="0"/>
              <w:bottom w:val="dashed" w:color="auto" w:sz="4" w:space="0"/>
            </w:tcBorders>
            <w:shd w:val="clear" w:color="auto" w:fill="auto"/>
            <w:vAlign w:val="center"/>
          </w:tcPr>
          <w:p w14:paraId="3DC6A4CD">
            <w:pPr>
              <w:spacing w:after="0" w:line="0" w:lineRule="atLeast"/>
              <w:jc w:val="left"/>
              <w:rPr>
                <w:rFonts w:hint="default" w:ascii="Times New Roman" w:hAnsi="Times New Roman" w:cs="Times New Roman"/>
              </w:rPr>
            </w:pPr>
            <w:r>
              <w:rPr>
                <w:rFonts w:hint="default" w:ascii="Times New Roman" w:hAnsi="Times New Roman" w:cs="Times New Roman"/>
              </w:rPr>
              <w:t>miR-155-5p inhibition rejuvenates aged mesenchymal stem cells and enhances cardioprotection following infarction</w:t>
            </w:r>
          </w:p>
        </w:tc>
        <w:tc>
          <w:tcPr>
            <w:tcW w:w="14100" w:type="dxa"/>
            <w:tcBorders>
              <w:top w:val="dashed" w:color="auto" w:sz="4" w:space="0"/>
              <w:bottom w:val="dashed" w:color="auto" w:sz="4" w:space="0"/>
            </w:tcBorders>
            <w:shd w:val="clear" w:color="auto" w:fill="auto"/>
            <w:vAlign w:val="center"/>
          </w:tcPr>
          <w:p w14:paraId="08AD0FC3">
            <w:pPr>
              <w:spacing w:after="0" w:line="0" w:lineRule="atLeast"/>
              <w:jc w:val="left"/>
              <w:rPr>
                <w:rFonts w:hint="default" w:ascii="Times New Roman" w:hAnsi="Times New Roman" w:cs="Times New Roman"/>
              </w:rPr>
            </w:pPr>
            <w:r>
              <w:rPr>
                <w:rFonts w:hint="default" w:ascii="Times New Roman" w:hAnsi="Times New Roman" w:cs="Times New Roman"/>
              </w:rPr>
              <w:t>Inhibition of miR-155-5p rejuvenates aging MSCs and enhances their therapeutic effect after myocardial infarction by targeting the Cab39/AMPK signalling pathway to regulate mitochondrial dynamics.</w:t>
            </w:r>
          </w:p>
        </w:tc>
      </w:tr>
      <w:tr w14:paraId="47F1621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77F63098">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molecular</w:t>
            </w:r>
          </w:p>
        </w:tc>
        <w:tc>
          <w:tcPr>
            <w:tcW w:w="5900" w:type="dxa"/>
            <w:tcBorders>
              <w:top w:val="dashed" w:color="auto" w:sz="4" w:space="0"/>
              <w:bottom w:val="dashed" w:color="auto" w:sz="4" w:space="0"/>
            </w:tcBorders>
            <w:shd w:val="clear" w:color="auto" w:fill="auto"/>
            <w:vAlign w:val="center"/>
          </w:tcPr>
          <w:p w14:paraId="3AB32E21">
            <w:pPr>
              <w:spacing w:after="0" w:line="0" w:lineRule="atLeast"/>
              <w:jc w:val="left"/>
              <w:rPr>
                <w:rFonts w:hint="default" w:ascii="Times New Roman" w:hAnsi="Times New Roman" w:cs="Times New Roman"/>
              </w:rPr>
            </w:pPr>
            <w:r>
              <w:rPr>
                <w:rFonts w:hint="default" w:ascii="Times New Roman" w:hAnsi="Times New Roman" w:cs="Times New Roman"/>
              </w:rPr>
              <w:t>Glibenclamide targets MDH2 to relieve aging phenotypes through metabolism-regulated epigenetic modification</w:t>
            </w:r>
          </w:p>
        </w:tc>
        <w:tc>
          <w:tcPr>
            <w:tcW w:w="14100" w:type="dxa"/>
            <w:tcBorders>
              <w:top w:val="dashed" w:color="auto" w:sz="4" w:space="0"/>
              <w:bottom w:val="dashed" w:color="auto" w:sz="4" w:space="0"/>
            </w:tcBorders>
            <w:shd w:val="clear" w:color="auto" w:fill="auto"/>
            <w:vAlign w:val="center"/>
          </w:tcPr>
          <w:p w14:paraId="06FD8C05">
            <w:pPr>
              <w:spacing w:after="0" w:line="0" w:lineRule="atLeast"/>
              <w:jc w:val="left"/>
              <w:rPr>
                <w:rFonts w:hint="default" w:ascii="Times New Roman" w:hAnsi="Times New Roman" w:cs="Times New Roman"/>
              </w:rPr>
            </w:pPr>
            <w:r>
              <w:rPr>
                <w:rFonts w:hint="default" w:ascii="Times New Roman" w:hAnsi="Times New Roman" w:cs="Times New Roman"/>
              </w:rPr>
              <w:t>Glibenclamide modulates metabolic and epigenetic modifications by targeting mitochondrial malate dehydrogenase 2 (MDH2), thereby alleviating the aging phenotype.</w:t>
            </w:r>
          </w:p>
        </w:tc>
      </w:tr>
      <w:tr w14:paraId="09D0618D">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124D4176">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molecular</w:t>
            </w:r>
          </w:p>
        </w:tc>
        <w:tc>
          <w:tcPr>
            <w:tcW w:w="5900" w:type="dxa"/>
            <w:tcBorders>
              <w:top w:val="dashed" w:color="auto" w:sz="4" w:space="0"/>
              <w:bottom w:val="dashed" w:color="auto" w:sz="4" w:space="0"/>
            </w:tcBorders>
            <w:shd w:val="clear" w:color="auto" w:fill="auto"/>
            <w:vAlign w:val="center"/>
          </w:tcPr>
          <w:p w14:paraId="38D50051">
            <w:pPr>
              <w:spacing w:after="0" w:line="0" w:lineRule="atLeast"/>
              <w:jc w:val="left"/>
              <w:rPr>
                <w:rFonts w:hint="default" w:ascii="Times New Roman" w:hAnsi="Times New Roman" w:cs="Times New Roman"/>
              </w:rPr>
            </w:pPr>
            <w:r>
              <w:rPr>
                <w:rFonts w:hint="default" w:ascii="Times New Roman" w:hAnsi="Times New Roman" w:cs="Times New Roman"/>
              </w:rPr>
              <w:t>Suppressed basal mitophagy drives cellular aging phenotypes that can be reversed by a p62-targeting small molecule</w:t>
            </w:r>
          </w:p>
        </w:tc>
        <w:tc>
          <w:tcPr>
            <w:tcW w:w="14100" w:type="dxa"/>
            <w:tcBorders>
              <w:top w:val="dashed" w:color="auto" w:sz="4" w:space="0"/>
              <w:bottom w:val="dashed" w:color="auto" w:sz="4" w:space="0"/>
            </w:tcBorders>
            <w:shd w:val="clear" w:color="auto" w:fill="auto"/>
            <w:vAlign w:val="center"/>
          </w:tcPr>
          <w:p w14:paraId="5E7A02F5">
            <w:pPr>
              <w:spacing w:after="0" w:line="0" w:lineRule="atLeast"/>
              <w:jc w:val="left"/>
              <w:rPr>
                <w:rFonts w:hint="default" w:ascii="Times New Roman" w:hAnsi="Times New Roman" w:cs="Times New Roman"/>
              </w:rPr>
            </w:pPr>
            <w:r>
              <w:rPr>
                <w:rFonts w:hint="default" w:ascii="Times New Roman" w:hAnsi="Times New Roman" w:cs="Times New Roman"/>
              </w:rPr>
              <w:t>A small molecule compound, STOCK1N-57534, capable of targeting p62, which activates mitochondrial autophagy and thereby reduces the cellular senescence phenotype.</w:t>
            </w:r>
          </w:p>
        </w:tc>
      </w:tr>
      <w:tr w14:paraId="50DD39D9">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1A3B0AF5">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Nanoparticles</w:t>
            </w:r>
          </w:p>
        </w:tc>
        <w:tc>
          <w:tcPr>
            <w:tcW w:w="5900" w:type="dxa"/>
            <w:tcBorders>
              <w:top w:val="dashed" w:color="auto" w:sz="4" w:space="0"/>
              <w:bottom w:val="dashed" w:color="auto" w:sz="4" w:space="0"/>
            </w:tcBorders>
            <w:shd w:val="clear" w:color="auto" w:fill="auto"/>
            <w:vAlign w:val="center"/>
          </w:tcPr>
          <w:p w14:paraId="66201D56">
            <w:pPr>
              <w:spacing w:after="0" w:line="0" w:lineRule="atLeast"/>
              <w:jc w:val="left"/>
              <w:rPr>
                <w:rFonts w:hint="default" w:ascii="Times New Roman" w:hAnsi="Times New Roman" w:cs="Times New Roman"/>
              </w:rPr>
            </w:pPr>
            <w:r>
              <w:rPr>
                <w:rFonts w:hint="default" w:ascii="Times New Roman" w:hAnsi="Times New Roman" w:cs="Times New Roman"/>
              </w:rPr>
              <w:t>Nanoparticles in the diagnosis and treatment of vascular aging and related diseases</w:t>
            </w:r>
          </w:p>
        </w:tc>
        <w:tc>
          <w:tcPr>
            <w:tcW w:w="14100" w:type="dxa"/>
            <w:tcBorders>
              <w:top w:val="dashed" w:color="auto" w:sz="4" w:space="0"/>
              <w:bottom w:val="dashed" w:color="auto" w:sz="4" w:space="0"/>
            </w:tcBorders>
            <w:shd w:val="clear" w:color="auto" w:fill="auto"/>
            <w:vAlign w:val="center"/>
          </w:tcPr>
          <w:p w14:paraId="79125F41">
            <w:pPr>
              <w:spacing w:after="0" w:line="0" w:lineRule="atLeast"/>
              <w:jc w:val="left"/>
              <w:rPr>
                <w:rFonts w:hint="default" w:ascii="Times New Roman" w:hAnsi="Times New Roman" w:cs="Times New Roman"/>
              </w:rPr>
            </w:pPr>
            <w:r>
              <w:rPr>
                <w:rFonts w:hint="default" w:ascii="Times New Roman" w:hAnsi="Times New Roman" w:cs="Times New Roman"/>
              </w:rPr>
              <w:t>Nanoparticles can be used as antioxidants, anti-inflammatory substances and gene carriers to achieve efficient treatment of vascular ageing-related diseases by targeting mitochondria.</w:t>
            </w:r>
          </w:p>
        </w:tc>
      </w:tr>
      <w:tr w14:paraId="62D4B36A">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52010FC6">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molecular</w:t>
            </w:r>
          </w:p>
        </w:tc>
        <w:tc>
          <w:tcPr>
            <w:tcW w:w="5900" w:type="dxa"/>
            <w:tcBorders>
              <w:top w:val="dashed" w:color="auto" w:sz="4" w:space="0"/>
              <w:bottom w:val="dashed" w:color="auto" w:sz="4" w:space="0"/>
            </w:tcBorders>
            <w:shd w:val="clear" w:color="auto" w:fill="auto"/>
            <w:vAlign w:val="center"/>
          </w:tcPr>
          <w:p w14:paraId="0DC705E2">
            <w:pPr>
              <w:spacing w:after="0" w:line="0" w:lineRule="atLeast"/>
              <w:jc w:val="left"/>
              <w:rPr>
                <w:rFonts w:hint="default" w:ascii="Times New Roman" w:hAnsi="Times New Roman" w:cs="Times New Roman"/>
              </w:rPr>
            </w:pPr>
            <w:r>
              <w:rPr>
                <w:rFonts w:hint="default" w:ascii="Times New Roman" w:hAnsi="Times New Roman" w:cs="Times New Roman"/>
              </w:rPr>
              <w:t>Metformin in aging and aging-related diseases: clinical applications and relevant mechanisms</w:t>
            </w:r>
          </w:p>
        </w:tc>
        <w:tc>
          <w:tcPr>
            <w:tcW w:w="14100" w:type="dxa"/>
            <w:tcBorders>
              <w:top w:val="dashed" w:color="auto" w:sz="4" w:space="0"/>
              <w:bottom w:val="dashed" w:color="auto" w:sz="4" w:space="0"/>
            </w:tcBorders>
            <w:shd w:val="clear" w:color="auto" w:fill="auto"/>
            <w:vAlign w:val="center"/>
          </w:tcPr>
          <w:p w14:paraId="2739789C">
            <w:pPr>
              <w:spacing w:after="0" w:line="0" w:lineRule="atLeast"/>
              <w:jc w:val="left"/>
              <w:rPr>
                <w:rFonts w:hint="default" w:ascii="Times New Roman" w:hAnsi="Times New Roman" w:cs="Times New Roman"/>
              </w:rPr>
            </w:pPr>
            <w:r>
              <w:rPr>
                <w:rFonts w:hint="default" w:ascii="Times New Roman" w:hAnsi="Times New Roman" w:cs="Times New Roman"/>
              </w:rPr>
              <w:t xml:space="preserve"> Metformin, the most widely used antidiabetic drug, has been reported to delay aging and display protective effect on attenuating progression of various aging-related diseases by impacting key hallmark events of aging, including dysregulated nutrient sensing, loss of proteostasis, mitochondrial dysfunction, altered intercellular communication, telomere attrition, genomic instability, epigenetic alterations, stem cell exhaustion and cellular senescence.</w:t>
            </w:r>
          </w:p>
        </w:tc>
      </w:tr>
      <w:tr w14:paraId="0BE9BE84">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bottom w:val="dashed" w:color="auto" w:sz="4" w:space="0"/>
            </w:tcBorders>
            <w:shd w:val="clear" w:color="auto" w:fill="auto"/>
            <w:vAlign w:val="center"/>
          </w:tcPr>
          <w:p w14:paraId="14F3D2EF">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molecular</w:t>
            </w:r>
          </w:p>
        </w:tc>
        <w:tc>
          <w:tcPr>
            <w:tcW w:w="5900" w:type="dxa"/>
            <w:tcBorders>
              <w:top w:val="dashed" w:color="auto" w:sz="4" w:space="0"/>
              <w:bottom w:val="dashed" w:color="auto" w:sz="4" w:space="0"/>
            </w:tcBorders>
            <w:shd w:val="clear" w:color="auto" w:fill="auto"/>
            <w:vAlign w:val="center"/>
          </w:tcPr>
          <w:p w14:paraId="68EFE41A">
            <w:pPr>
              <w:spacing w:after="0" w:line="0" w:lineRule="atLeast"/>
              <w:jc w:val="left"/>
              <w:rPr>
                <w:rFonts w:hint="default" w:ascii="Times New Roman" w:hAnsi="Times New Roman" w:cs="Times New Roman"/>
              </w:rPr>
            </w:pPr>
            <w:r>
              <w:rPr>
                <w:rFonts w:hint="default" w:ascii="Times New Roman" w:hAnsi="Times New Roman" w:cs="Times New Roman"/>
              </w:rPr>
              <w:t>AMPK Activator O304 Protects Against Kidney Aging Through Promoting Energy Metabolism and Autophagy</w:t>
            </w:r>
          </w:p>
        </w:tc>
        <w:tc>
          <w:tcPr>
            <w:tcW w:w="14100" w:type="dxa"/>
            <w:tcBorders>
              <w:top w:val="dashed" w:color="auto" w:sz="4" w:space="0"/>
              <w:bottom w:val="dashed" w:color="auto" w:sz="4" w:space="0"/>
            </w:tcBorders>
            <w:shd w:val="clear" w:color="auto" w:fill="auto"/>
            <w:vAlign w:val="center"/>
          </w:tcPr>
          <w:p w14:paraId="560EAC02">
            <w:pPr>
              <w:spacing w:after="0" w:line="0" w:lineRule="atLeast"/>
              <w:jc w:val="left"/>
              <w:rPr>
                <w:rFonts w:hint="default" w:ascii="Times New Roman" w:hAnsi="Times New Roman" w:cs="Times New Roman"/>
              </w:rPr>
            </w:pPr>
            <w:r>
              <w:rPr>
                <w:rFonts w:hint="default" w:ascii="Times New Roman" w:hAnsi="Times New Roman" w:cs="Times New Roman"/>
              </w:rPr>
              <w:t>The novel direct AMPK activator O304 effectively protects the kidney from cellular senescence and age-related fibrosis, restores energy metabolism, promotes autophagy, and maintains mitochondrial homeostasis.</w:t>
            </w:r>
          </w:p>
        </w:tc>
      </w:tr>
      <w:tr w14:paraId="35742ACA">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3" w:type="dxa"/>
            <w:tcBorders>
              <w:top w:val="dashed" w:color="auto" w:sz="4" w:space="0"/>
            </w:tcBorders>
            <w:shd w:val="clear" w:color="auto" w:fill="auto"/>
            <w:vAlign w:val="center"/>
          </w:tcPr>
          <w:p w14:paraId="213E961C">
            <w:pPr>
              <w:spacing w:after="0" w:line="240" w:lineRule="atLeast"/>
              <w:ind w:left="31" w:leftChars="17"/>
              <w:jc w:val="left"/>
              <w:rPr>
                <w:rFonts w:hint="default" w:ascii="Times New Roman" w:hAnsi="Times New Roman" w:cs="Times New Roman"/>
              </w:rPr>
            </w:pPr>
            <w:r>
              <w:rPr>
                <w:rFonts w:hint="default" w:ascii="Times New Roman" w:hAnsi="Times New Roman" w:cs="Times New Roman"/>
              </w:rPr>
              <w:t>molecular</w:t>
            </w:r>
          </w:p>
        </w:tc>
        <w:tc>
          <w:tcPr>
            <w:tcW w:w="5900" w:type="dxa"/>
            <w:tcBorders>
              <w:top w:val="dashed" w:color="auto" w:sz="4" w:space="0"/>
            </w:tcBorders>
            <w:shd w:val="clear" w:color="auto" w:fill="auto"/>
            <w:vAlign w:val="center"/>
          </w:tcPr>
          <w:p w14:paraId="791186F0">
            <w:pPr>
              <w:spacing w:after="0" w:line="0" w:lineRule="atLeast"/>
              <w:jc w:val="left"/>
              <w:rPr>
                <w:rFonts w:hint="default" w:ascii="Times New Roman" w:hAnsi="Times New Roman" w:cs="Times New Roman"/>
              </w:rPr>
            </w:pPr>
            <w:r>
              <w:rPr>
                <w:rFonts w:hint="default" w:ascii="Times New Roman" w:hAnsi="Times New Roman" w:cs="Times New Roman"/>
              </w:rPr>
              <w:t xml:space="preserve">Troxerutin Delays Skin Keratinocyte Senescence Induced by Ionizing Radiation Both </w:t>
            </w:r>
            <w:r>
              <w:rPr>
                <w:rFonts w:hint="default" w:ascii="Times New Roman" w:hAnsi="Times New Roman" w:cs="Times New Roman"/>
                <w:i/>
                <w:iCs/>
              </w:rPr>
              <w:t xml:space="preserve">In </w:t>
            </w:r>
            <w:r>
              <w:rPr>
                <w:rFonts w:hint="eastAsia" w:ascii="Times New Roman" w:hAnsi="Times New Roman" w:cs="Times New Roman"/>
                <w:i/>
                <w:iCs/>
                <w:lang w:val="en-US" w:eastAsia="zh-CN"/>
              </w:rPr>
              <w:t>v</w:t>
            </w:r>
            <w:r>
              <w:rPr>
                <w:rFonts w:hint="default" w:ascii="Times New Roman" w:hAnsi="Times New Roman" w:cs="Times New Roman"/>
                <w:i/>
                <w:iCs/>
              </w:rPr>
              <w:t>itro</w:t>
            </w:r>
            <w:r>
              <w:rPr>
                <w:rFonts w:hint="default" w:ascii="Times New Roman" w:hAnsi="Times New Roman" w:cs="Times New Roman"/>
              </w:rPr>
              <w:t xml:space="preserve"> and </w:t>
            </w:r>
            <w:r>
              <w:rPr>
                <w:rFonts w:hint="default" w:ascii="Times New Roman" w:hAnsi="Times New Roman" w:cs="Times New Roman"/>
                <w:i/>
                <w:iCs/>
              </w:rPr>
              <w:t xml:space="preserve">In </w:t>
            </w:r>
            <w:r>
              <w:rPr>
                <w:rFonts w:hint="eastAsia" w:ascii="Times New Roman" w:hAnsi="Times New Roman" w:cs="Times New Roman"/>
                <w:i/>
                <w:iCs/>
                <w:lang w:val="en-US" w:eastAsia="zh-CN"/>
              </w:rPr>
              <w:t>v</w:t>
            </w:r>
            <w:r>
              <w:rPr>
                <w:rFonts w:hint="default" w:ascii="Times New Roman" w:hAnsi="Times New Roman" w:cs="Times New Roman"/>
                <w:i/>
                <w:iCs/>
              </w:rPr>
              <w:t>ivo</w:t>
            </w:r>
          </w:p>
        </w:tc>
        <w:tc>
          <w:tcPr>
            <w:tcW w:w="14100" w:type="dxa"/>
            <w:tcBorders>
              <w:top w:val="dashed" w:color="auto" w:sz="4" w:space="0"/>
            </w:tcBorders>
            <w:shd w:val="clear" w:color="auto" w:fill="auto"/>
            <w:vAlign w:val="center"/>
          </w:tcPr>
          <w:p w14:paraId="30728C11">
            <w:pPr>
              <w:spacing w:after="0" w:line="0" w:lineRule="atLeast"/>
              <w:jc w:val="left"/>
              <w:rPr>
                <w:rFonts w:hint="default" w:ascii="Times New Roman" w:hAnsi="Times New Roman" w:cs="Times New Roman"/>
              </w:rPr>
            </w:pPr>
            <w:r>
              <w:rPr>
                <w:rFonts w:hint="default" w:ascii="Times New Roman" w:hAnsi="Times New Roman" w:cs="Times New Roman"/>
              </w:rPr>
              <w:t>Triclabrutin (5 μM) inhibits senescence-associated β-galactosidase activity, promotes cell proliferation, reduces ROS levels, attenuates mitochondrial dysfunction and DNA damage, and decreases senescence-associated secretory phenotype (SASP) factor secretion.</w:t>
            </w:r>
          </w:p>
        </w:tc>
      </w:tr>
    </w:tbl>
    <w:p w14:paraId="449A4D37">
      <w:pPr>
        <w:tabs>
          <w:tab w:val="left" w:pos="723"/>
        </w:tabs>
      </w:pPr>
    </w:p>
    <w:sectPr>
      <w:headerReference r:id="rId7" w:type="first"/>
      <w:footerReference r:id="rId10" w:type="first"/>
      <w:headerReference r:id="rId5" w:type="default"/>
      <w:footerReference r:id="rId8" w:type="default"/>
      <w:headerReference r:id="rId6" w:type="even"/>
      <w:footerReference r:id="rId9" w:type="even"/>
      <w:pgSz w:w="23811" w:h="23187" w:orient="landscape"/>
      <w:pgMar w:top="1803" w:right="1440" w:bottom="1803"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384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604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F56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13C2">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8A2C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67F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9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90B"/>
    <w:rsid w:val="00057229"/>
    <w:rsid w:val="000B04CF"/>
    <w:rsid w:val="000C53F1"/>
    <w:rsid w:val="000C7051"/>
    <w:rsid w:val="00136589"/>
    <w:rsid w:val="00167D51"/>
    <w:rsid w:val="00172A27"/>
    <w:rsid w:val="001D42CE"/>
    <w:rsid w:val="00232F9E"/>
    <w:rsid w:val="00266B9F"/>
    <w:rsid w:val="002A4CD1"/>
    <w:rsid w:val="002C12E2"/>
    <w:rsid w:val="003337FA"/>
    <w:rsid w:val="00355D65"/>
    <w:rsid w:val="00381536"/>
    <w:rsid w:val="003F1903"/>
    <w:rsid w:val="00413BFA"/>
    <w:rsid w:val="0045437E"/>
    <w:rsid w:val="004619BD"/>
    <w:rsid w:val="00461EA9"/>
    <w:rsid w:val="004844CD"/>
    <w:rsid w:val="00496372"/>
    <w:rsid w:val="004A76E9"/>
    <w:rsid w:val="004E0FA6"/>
    <w:rsid w:val="005104E4"/>
    <w:rsid w:val="005A613E"/>
    <w:rsid w:val="005B4B5E"/>
    <w:rsid w:val="00602C04"/>
    <w:rsid w:val="00622FBA"/>
    <w:rsid w:val="006301D2"/>
    <w:rsid w:val="006473A1"/>
    <w:rsid w:val="00650EEF"/>
    <w:rsid w:val="00653652"/>
    <w:rsid w:val="006606F2"/>
    <w:rsid w:val="0068128E"/>
    <w:rsid w:val="006A64B2"/>
    <w:rsid w:val="006F4E5A"/>
    <w:rsid w:val="00702E82"/>
    <w:rsid w:val="007E0E8A"/>
    <w:rsid w:val="00841772"/>
    <w:rsid w:val="00850AEC"/>
    <w:rsid w:val="00865285"/>
    <w:rsid w:val="008D524C"/>
    <w:rsid w:val="00984CED"/>
    <w:rsid w:val="009957A7"/>
    <w:rsid w:val="00A03D1C"/>
    <w:rsid w:val="00A30DE6"/>
    <w:rsid w:val="00A36C57"/>
    <w:rsid w:val="00A81E67"/>
    <w:rsid w:val="00AA1A69"/>
    <w:rsid w:val="00AC0327"/>
    <w:rsid w:val="00AF611D"/>
    <w:rsid w:val="00B06AEF"/>
    <w:rsid w:val="00B42929"/>
    <w:rsid w:val="00B80755"/>
    <w:rsid w:val="00BA2FF1"/>
    <w:rsid w:val="00BD5DD9"/>
    <w:rsid w:val="00BE17BD"/>
    <w:rsid w:val="00BE7ECB"/>
    <w:rsid w:val="00BF05D8"/>
    <w:rsid w:val="00C70E13"/>
    <w:rsid w:val="00CA3A95"/>
    <w:rsid w:val="00CD61FA"/>
    <w:rsid w:val="00D01A46"/>
    <w:rsid w:val="00D23BFB"/>
    <w:rsid w:val="00D37F99"/>
    <w:rsid w:val="00D51BB3"/>
    <w:rsid w:val="00E452D6"/>
    <w:rsid w:val="00E4573E"/>
    <w:rsid w:val="00E72327"/>
    <w:rsid w:val="00EE3300"/>
    <w:rsid w:val="00F06FAB"/>
    <w:rsid w:val="00F23139"/>
    <w:rsid w:val="00F3592E"/>
    <w:rsid w:val="00F639CB"/>
    <w:rsid w:val="00F714D4"/>
    <w:rsid w:val="00FB072D"/>
    <w:rsid w:val="00FB70BB"/>
    <w:rsid w:val="0356101A"/>
    <w:rsid w:val="044730A1"/>
    <w:rsid w:val="048117A6"/>
    <w:rsid w:val="04EA4C99"/>
    <w:rsid w:val="05E450DC"/>
    <w:rsid w:val="07DB28A2"/>
    <w:rsid w:val="0888740E"/>
    <w:rsid w:val="0888779C"/>
    <w:rsid w:val="091F0FEF"/>
    <w:rsid w:val="09D21BBD"/>
    <w:rsid w:val="0AF3628F"/>
    <w:rsid w:val="0B2A3B97"/>
    <w:rsid w:val="0CA14F93"/>
    <w:rsid w:val="0CE82126"/>
    <w:rsid w:val="10832FB0"/>
    <w:rsid w:val="12880988"/>
    <w:rsid w:val="13456BDD"/>
    <w:rsid w:val="1A265143"/>
    <w:rsid w:val="1BD94FE4"/>
    <w:rsid w:val="1E122AD0"/>
    <w:rsid w:val="1E905236"/>
    <w:rsid w:val="1FF97A4C"/>
    <w:rsid w:val="20371422"/>
    <w:rsid w:val="20932A1B"/>
    <w:rsid w:val="219C6341"/>
    <w:rsid w:val="22230B3A"/>
    <w:rsid w:val="24B0459D"/>
    <w:rsid w:val="263878EA"/>
    <w:rsid w:val="281D1FD8"/>
    <w:rsid w:val="28BE5CD7"/>
    <w:rsid w:val="28C130D1"/>
    <w:rsid w:val="29C61D8F"/>
    <w:rsid w:val="2A1475DC"/>
    <w:rsid w:val="2C446C03"/>
    <w:rsid w:val="2FA4415B"/>
    <w:rsid w:val="2FC279D2"/>
    <w:rsid w:val="30403A98"/>
    <w:rsid w:val="30DB0655"/>
    <w:rsid w:val="322D61E8"/>
    <w:rsid w:val="33D71052"/>
    <w:rsid w:val="340545E0"/>
    <w:rsid w:val="37113475"/>
    <w:rsid w:val="37691EBB"/>
    <w:rsid w:val="394144E6"/>
    <w:rsid w:val="3A642AB9"/>
    <w:rsid w:val="3AB66C4F"/>
    <w:rsid w:val="3B223FDF"/>
    <w:rsid w:val="3C333E8E"/>
    <w:rsid w:val="3DE0634D"/>
    <w:rsid w:val="3E2B66DA"/>
    <w:rsid w:val="421107CE"/>
    <w:rsid w:val="43BC2C7F"/>
    <w:rsid w:val="47541888"/>
    <w:rsid w:val="477C436F"/>
    <w:rsid w:val="492B0EAD"/>
    <w:rsid w:val="4A727F0E"/>
    <w:rsid w:val="4A9808AA"/>
    <w:rsid w:val="4ADB4956"/>
    <w:rsid w:val="4B827510"/>
    <w:rsid w:val="4BE80C94"/>
    <w:rsid w:val="4DF7368F"/>
    <w:rsid w:val="4EA14F63"/>
    <w:rsid w:val="4F9053DB"/>
    <w:rsid w:val="51A73A24"/>
    <w:rsid w:val="5364487E"/>
    <w:rsid w:val="538D3430"/>
    <w:rsid w:val="545A24A8"/>
    <w:rsid w:val="5726041F"/>
    <w:rsid w:val="590B3D71"/>
    <w:rsid w:val="590F7ABB"/>
    <w:rsid w:val="5A787AD9"/>
    <w:rsid w:val="5AE96D26"/>
    <w:rsid w:val="5BF4702D"/>
    <w:rsid w:val="5CA20A60"/>
    <w:rsid w:val="5DAF7662"/>
    <w:rsid w:val="5DF41277"/>
    <w:rsid w:val="5EDE4E0B"/>
    <w:rsid w:val="5F7E2C64"/>
    <w:rsid w:val="60770686"/>
    <w:rsid w:val="615747AE"/>
    <w:rsid w:val="617526CF"/>
    <w:rsid w:val="635E10C5"/>
    <w:rsid w:val="643832AE"/>
    <w:rsid w:val="643A3639"/>
    <w:rsid w:val="644A52D4"/>
    <w:rsid w:val="64B75D57"/>
    <w:rsid w:val="65A543AA"/>
    <w:rsid w:val="664166AE"/>
    <w:rsid w:val="6CC16C42"/>
    <w:rsid w:val="6E712470"/>
    <w:rsid w:val="6EC305AF"/>
    <w:rsid w:val="6ED652F5"/>
    <w:rsid w:val="73B85BA3"/>
    <w:rsid w:val="74FF7E28"/>
    <w:rsid w:val="752B56FD"/>
    <w:rsid w:val="76A669D8"/>
    <w:rsid w:val="77AC65FB"/>
    <w:rsid w:val="783C36E0"/>
    <w:rsid w:val="78607BB1"/>
    <w:rsid w:val="78697A5D"/>
    <w:rsid w:val="7A03546E"/>
    <w:rsid w:val="7A895529"/>
    <w:rsid w:val="7CF20C20"/>
    <w:rsid w:val="7D2557AC"/>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color w:val="000000"/>
      <w:sz w:val="18"/>
      <w:szCs w:val="18"/>
      <w:lang w:val="en-US" w:eastAsia="zh-CN" w:bidi="ar-SA"/>
    </w:rPr>
  </w:style>
  <w:style w:type="paragraph" w:styleId="2">
    <w:name w:val="heading 1"/>
    <w:next w:val="1"/>
    <w:link w:val="12"/>
    <w:qFormat/>
    <w:uiPriority w:val="9"/>
    <w:pPr>
      <w:spacing w:before="480" w:line="276" w:lineRule="auto"/>
      <w:contextualSpacing/>
      <w:outlineLvl w:val="0"/>
    </w:pPr>
    <w:rPr>
      <w:rFonts w:asciiTheme="majorHAnsi" w:hAnsiTheme="majorHAnsi" w:eastAsiaTheme="majorEastAsia" w:cstheme="majorBidi"/>
      <w:smallCaps/>
      <w:spacing w:val="5"/>
      <w:sz w:val="36"/>
      <w:szCs w:val="36"/>
      <w:lang w:val="en-US" w:eastAsia="zh-CN" w:bidi="ar-SA"/>
    </w:rPr>
  </w:style>
  <w:style w:type="paragraph" w:styleId="3">
    <w:name w:val="heading 2"/>
    <w:next w:val="1"/>
    <w:link w:val="13"/>
    <w:unhideWhenUsed/>
    <w:qFormat/>
    <w:uiPriority w:val="9"/>
    <w:pPr>
      <w:spacing w:before="200" w:line="271" w:lineRule="auto"/>
      <w:outlineLvl w:val="1"/>
    </w:pPr>
    <w:rPr>
      <w:rFonts w:asciiTheme="majorHAnsi" w:hAnsiTheme="majorHAnsi" w:eastAsiaTheme="majorEastAsia" w:cstheme="majorBidi"/>
      <w:smallCaps/>
      <w:sz w:val="28"/>
      <w:szCs w:val="28"/>
      <w:lang w:val="en-US" w:eastAsia="zh-CN" w:bidi="ar-SA"/>
    </w:rPr>
  </w:style>
  <w:style w:type="paragraph" w:styleId="4">
    <w:name w:val="heading 3"/>
    <w:basedOn w:val="1"/>
    <w:next w:val="1"/>
    <w:link w:val="17"/>
    <w:unhideWhenUsed/>
    <w:qFormat/>
    <w:uiPriority w:val="9"/>
    <w:pPr>
      <w:spacing w:before="200" w:after="0" w:line="271" w:lineRule="auto"/>
      <w:outlineLvl w:val="2"/>
    </w:pPr>
    <w:rPr>
      <w:i/>
      <w:iCs/>
      <w:smallCaps/>
      <w:spacing w:val="5"/>
      <w:sz w:val="26"/>
      <w:szCs w:val="26"/>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21"/>
    <w:unhideWhenUsed/>
    <w:qFormat/>
    <w:uiPriority w:val="99"/>
    <w:pPr>
      <w:tabs>
        <w:tab w:val="center" w:pos="4153"/>
        <w:tab w:val="right" w:pos="8306"/>
      </w:tabs>
      <w:snapToGrid w:val="0"/>
      <w:spacing w:line="240" w:lineRule="auto"/>
    </w:pPr>
  </w:style>
  <w:style w:type="paragraph" w:styleId="6">
    <w:name w:val="header"/>
    <w:basedOn w:val="1"/>
    <w:link w:val="20"/>
    <w:unhideWhenUsed/>
    <w:qFormat/>
    <w:uiPriority w:val="99"/>
    <w:pPr>
      <w:tabs>
        <w:tab w:val="center" w:pos="4153"/>
        <w:tab w:val="right" w:pos="8306"/>
      </w:tabs>
      <w:snapToGrid w:val="0"/>
      <w:spacing w:line="240" w:lineRule="auto"/>
      <w:jc w:val="center"/>
    </w:pPr>
  </w:style>
  <w:style w:type="paragraph" w:styleId="7">
    <w:name w:val="Normal (Web)"/>
    <w:basedOn w:val="1"/>
    <w:link w:val="22"/>
    <w:unhideWhenUsed/>
    <w:qFormat/>
    <w:uiPriority w:val="0"/>
    <w:pPr>
      <w:spacing w:beforeAutospacing="1" w:after="0" w:afterAutospacing="1"/>
    </w:pPr>
    <w:rPr>
      <w:rFonts w:cs="Times New Roman"/>
      <w:sz w:val="24"/>
    </w:rPr>
  </w:style>
  <w:style w:type="paragraph" w:styleId="8">
    <w:name w:val="Title"/>
    <w:next w:val="1"/>
    <w:link w:val="16"/>
    <w:qFormat/>
    <w:uiPriority w:val="10"/>
    <w:pPr>
      <w:spacing w:after="300"/>
      <w:contextualSpacing/>
    </w:pPr>
    <w:rPr>
      <w:rFonts w:asciiTheme="majorHAnsi" w:hAnsiTheme="majorHAnsi" w:eastAsiaTheme="majorEastAsia" w:cstheme="majorBidi"/>
      <w:smallCaps/>
      <w:sz w:val="52"/>
      <w:szCs w:val="5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uiPriority w:val="9"/>
    <w:rPr>
      <w:rFonts w:asciiTheme="majorHAnsi" w:hAnsiTheme="majorHAnsi" w:eastAsiaTheme="majorEastAsia" w:cstheme="majorBidi"/>
      <w:smallCaps/>
      <w:spacing w:val="5"/>
      <w:kern w:val="0"/>
      <w:sz w:val="36"/>
      <w:szCs w:val="36"/>
    </w:rPr>
  </w:style>
  <w:style w:type="character" w:customStyle="1" w:styleId="13">
    <w:name w:val="标题 2 字符"/>
    <w:basedOn w:val="11"/>
    <w:link w:val="3"/>
    <w:uiPriority w:val="9"/>
    <w:rPr>
      <w:rFonts w:asciiTheme="majorHAnsi" w:hAnsiTheme="majorHAnsi" w:eastAsiaTheme="majorEastAsia" w:cstheme="majorBidi"/>
      <w:smallCaps/>
      <w:kern w:val="0"/>
      <w:sz w:val="28"/>
      <w:szCs w:val="28"/>
    </w:rPr>
  </w:style>
  <w:style w:type="paragraph" w:customStyle="1" w:styleId="14">
    <w:name w:val="编号"/>
    <w:link w:val="15"/>
    <w:qFormat/>
    <w:uiPriority w:val="0"/>
    <w:pPr>
      <w:spacing w:before="100" w:beforeAutospacing="1" w:after="100" w:afterAutospacing="1" w:line="405" w:lineRule="atLeast"/>
    </w:pPr>
    <w:rPr>
      <w:rFonts w:ascii="ˎ̥" w:hAnsi="ˎ̥" w:eastAsia="宋体" w:cs="宋体"/>
      <w:color w:val="000000"/>
      <w:sz w:val="18"/>
      <w:szCs w:val="18"/>
      <w:lang w:val="en-US" w:eastAsia="zh-CN" w:bidi="ar-SA"/>
    </w:rPr>
  </w:style>
  <w:style w:type="character" w:customStyle="1" w:styleId="15">
    <w:name w:val="编号 Char"/>
    <w:basedOn w:val="11"/>
    <w:link w:val="14"/>
    <w:qFormat/>
    <w:uiPriority w:val="0"/>
    <w:rPr>
      <w:rFonts w:ascii="ˎ̥" w:hAnsi="ˎ̥" w:eastAsia="宋体" w:cs="宋体"/>
      <w:color w:val="000000"/>
      <w:kern w:val="0"/>
      <w:sz w:val="18"/>
      <w:szCs w:val="18"/>
    </w:rPr>
  </w:style>
  <w:style w:type="character" w:customStyle="1" w:styleId="16">
    <w:name w:val="标题 字符"/>
    <w:basedOn w:val="11"/>
    <w:link w:val="8"/>
    <w:uiPriority w:val="10"/>
    <w:rPr>
      <w:rFonts w:asciiTheme="majorHAnsi" w:hAnsiTheme="majorHAnsi" w:eastAsiaTheme="majorEastAsia" w:cstheme="majorBidi"/>
      <w:smallCaps/>
      <w:kern w:val="0"/>
      <w:sz w:val="52"/>
      <w:szCs w:val="52"/>
    </w:rPr>
  </w:style>
  <w:style w:type="character" w:customStyle="1" w:styleId="17">
    <w:name w:val="标题 3 字符"/>
    <w:basedOn w:val="11"/>
    <w:link w:val="4"/>
    <w:uiPriority w:val="9"/>
    <w:rPr>
      <w:rFonts w:asciiTheme="majorHAnsi" w:hAnsiTheme="majorHAnsi" w:eastAsiaTheme="majorEastAsia" w:cstheme="majorBidi"/>
      <w:i/>
      <w:iCs/>
      <w:smallCaps/>
      <w:color w:val="000000"/>
      <w:spacing w:val="5"/>
      <w:kern w:val="0"/>
      <w:sz w:val="26"/>
      <w:szCs w:val="26"/>
    </w:rPr>
  </w:style>
  <w:style w:type="paragraph" w:customStyle="1" w:styleId="18">
    <w:name w:val="项目符号"/>
    <w:link w:val="19"/>
    <w:qFormat/>
    <w:uiPriority w:val="0"/>
    <w:pPr>
      <w:spacing w:after="200" w:line="276" w:lineRule="auto"/>
    </w:pPr>
    <w:rPr>
      <w:rFonts w:asciiTheme="majorHAnsi" w:hAnsiTheme="majorHAnsi" w:eastAsiaTheme="majorEastAsia" w:cstheme="majorBidi"/>
      <w:color w:val="000000"/>
      <w:sz w:val="18"/>
      <w:szCs w:val="18"/>
      <w:lang w:val="en-US" w:eastAsia="zh-CN" w:bidi="ar-SA"/>
    </w:rPr>
  </w:style>
  <w:style w:type="character" w:customStyle="1" w:styleId="19">
    <w:name w:val="项目符号 Char"/>
    <w:basedOn w:val="11"/>
    <w:link w:val="18"/>
    <w:uiPriority w:val="0"/>
    <w:rPr>
      <w:rFonts w:asciiTheme="majorHAnsi" w:hAnsiTheme="majorHAnsi" w:eastAsiaTheme="majorEastAsia" w:cstheme="majorBidi"/>
      <w:color w:val="000000"/>
      <w:kern w:val="0"/>
      <w:sz w:val="18"/>
      <w:szCs w:val="18"/>
    </w:rPr>
  </w:style>
  <w:style w:type="character" w:customStyle="1" w:styleId="20">
    <w:name w:val="页眉 字符"/>
    <w:basedOn w:val="11"/>
    <w:link w:val="6"/>
    <w:uiPriority w:val="99"/>
    <w:rPr>
      <w:rFonts w:asciiTheme="majorHAnsi" w:hAnsiTheme="majorHAnsi" w:eastAsiaTheme="majorEastAsia" w:cstheme="majorBidi"/>
      <w:color w:val="000000"/>
      <w:kern w:val="0"/>
      <w:sz w:val="18"/>
      <w:szCs w:val="18"/>
    </w:rPr>
  </w:style>
  <w:style w:type="character" w:customStyle="1" w:styleId="21">
    <w:name w:val="页脚 字符"/>
    <w:basedOn w:val="11"/>
    <w:link w:val="5"/>
    <w:uiPriority w:val="99"/>
    <w:rPr>
      <w:rFonts w:asciiTheme="majorHAnsi" w:hAnsiTheme="majorHAnsi" w:eastAsiaTheme="majorEastAsia" w:cstheme="majorBidi"/>
      <w:color w:val="000000"/>
      <w:kern w:val="0"/>
      <w:sz w:val="18"/>
      <w:szCs w:val="18"/>
    </w:rPr>
  </w:style>
  <w:style w:type="character" w:customStyle="1" w:styleId="22">
    <w:name w:val="普通(网站) 字符"/>
    <w:basedOn w:val="11"/>
    <w:link w:val="7"/>
    <w:qFormat/>
    <w:uiPriority w:val="0"/>
    <w:rPr>
      <w:rFonts w:asciiTheme="majorHAnsi" w:hAnsiTheme="majorHAnsi" w:eastAsiaTheme="majorEastAsia"/>
      <w:color w:val="000000"/>
      <w:sz w:val="24"/>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3097</Words>
  <Characters>21722</Characters>
  <Lines>365</Lines>
  <Paragraphs>111</Paragraphs>
  <TotalTime>5</TotalTime>
  <ScaleCrop>false</ScaleCrop>
  <LinksUpToDate>false</LinksUpToDate>
  <CharactersWithSpaces>24735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2025-02-02T01:43:00Z</dcterms:created>
  <dc:creator>干 高</dc:creator>
  <cp:lastModifiedBy>微信用户</cp:lastModifiedBy>
  <dcterms:modified xsi:type="dcterms:W3CDTF">2025-06-10T02:16:04Z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eyJoZGlkIjoiZGYwMTlhMDIyOWNlNTM0YzdmMDEwM2RmMDg4MjU0M2YiLCJ1c2VySWQiOiIxMjcyNjUyMTE3In0=</vt:lpwstr>
  </property>
  <property fmtid="{D5CDD505-2E9C-101B-9397-08002B2CF9AE}" pid="3" name="KSOProductBuildVer">
    <vt:lpwstr>2052-12.1.0.21541</vt:lpwstr>
  </property>
  <property fmtid="{D5CDD505-2E9C-101B-9397-08002B2CF9AE}" pid="4" name="ICV">
    <vt:lpwstr>883304C35531408995EC8F2F93BA49AE_12</vt:lpwstr>
  </property>
</Properties>
</file>